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sdt>
      <w:sdtPr>
        <w:rPr>
          <w:rFonts w:ascii="Alef" w:eastAsiaTheme="majorEastAsia" w:hAnsi="Alef" w:cs="Alef"/>
          <w:caps/>
          <w:rtl/>
        </w:rPr>
        <w:id w:val="131909489"/>
        <w:docPartObj>
          <w:docPartGallery w:val="Cover Pages"/>
          <w:docPartUnique/>
        </w:docPartObj>
      </w:sdtPr>
      <w:sdtEndPr>
        <w:rPr>
          <w:caps w:val="0"/>
          <w:sz w:val="72"/>
          <w:szCs w:val="72"/>
          <w:rtl w:val="0"/>
        </w:rPr>
      </w:sdtEndPr>
      <w:sdtContent>
        <w:tbl>
          <w:tblPr>
            <w:bidiVisual/>
            <w:tblW w:w="5203" w:type="pct"/>
            <w:jc w:val="center"/>
            <w:tblLook w:val="04A0" w:firstRow="1" w:lastRow="0" w:firstColumn="1" w:lastColumn="0" w:noHBand="0" w:noVBand="1"/>
          </w:tblPr>
          <w:tblGrid>
            <w:gridCol w:w="8643"/>
          </w:tblGrid>
          <w:tr w:rsidR="00EB5588" w:rsidRPr="00BA63B1" w14:paraId="79DDEEBE" w14:textId="77777777" w:rsidTr="006439A8">
            <w:trPr>
              <w:trHeight w:val="2904"/>
              <w:jc w:val="center"/>
            </w:trPr>
            <w:tc>
              <w:tcPr>
                <w:tcW w:w="5000" w:type="pct"/>
              </w:tcPr>
              <w:p w14:paraId="4C8DE02D" w14:textId="46E856CD" w:rsidR="00EB5588" w:rsidRPr="00BA63B1" w:rsidRDefault="00221548" w:rsidP="006439A8">
                <w:pPr>
                  <w:pStyle w:val="NoSpacing"/>
                  <w:jc w:val="center"/>
                  <w:rPr>
                    <w:rFonts w:ascii="Alef" w:eastAsiaTheme="majorEastAsia" w:hAnsi="Alef" w:cs="Alef"/>
                    <w:caps/>
                    <w:rtl/>
                    <w:cs/>
                  </w:rPr>
                </w:pPr>
                <w:r w:rsidRPr="00E71B20">
                  <w:rPr>
                    <w:rFonts w:asciiTheme="majorBidi" w:hAnsiTheme="majorBidi"/>
                    <w:b/>
                    <w:bCs/>
                    <w:noProof/>
                    <w:sz w:val="32"/>
                    <w:szCs w:val="32"/>
                  </w:rPr>
                  <w:drawing>
                    <wp:inline distT="0" distB="0" distL="0" distR="0" wp14:anchorId="5A56D1CF" wp14:editId="4FBBDC26">
                      <wp:extent cx="1654110" cy="1915286"/>
                      <wp:effectExtent l="0" t="0" r="0" b="0"/>
                      <wp:docPr id="2051" name="תמונה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תמונה 15"/>
                              <pic:cNvPicPr>
                                <a:picLocks noChangeAspect="1"/>
                              </pic:cNvPicPr>
                            </pic:nvPicPr>
                            <pic:blipFill rotWithShape="1">
                              <a:blip r:embed="rId9">
                                <a:extLst>
                                  <a:ext uri="{28A0092B-C50C-407E-A947-70E740481C1C}">
                                    <a14:useLocalDpi xmlns:a14="http://schemas.microsoft.com/office/drawing/2010/main" val="0"/>
                                  </a:ext>
                                </a:extLst>
                              </a:blip>
                              <a:srcRect l="73115" t="17286" r="9075" b="6654"/>
                              <a:stretch/>
                            </pic:blipFill>
                            <pic:spPr bwMode="auto">
                              <a:xfrm>
                                <a:off x="0" y="0"/>
                                <a:ext cx="1663820" cy="1926530"/>
                              </a:xfrm>
                              <a:prstGeom prst="rect">
                                <a:avLst/>
                              </a:prstGeom>
                              <a:noFill/>
                              <a:ln>
                                <a:noFill/>
                              </a:ln>
                              <a:extLst/>
                            </pic:spPr>
                          </pic:pic>
                        </a:graphicData>
                      </a:graphic>
                    </wp:inline>
                  </w:drawing>
                </w:r>
              </w:p>
            </w:tc>
          </w:tr>
          <w:tr w:rsidR="00EB5588" w:rsidRPr="00BA63B1" w14:paraId="3A7FBC57" w14:textId="77777777" w:rsidTr="00221548">
            <w:trPr>
              <w:trHeight w:val="3998"/>
              <w:jc w:val="center"/>
            </w:trPr>
            <w:sdt>
              <w:sdtPr>
                <w:rPr>
                  <w:rFonts w:ascii="Alef" w:eastAsiaTheme="majorEastAsia" w:hAnsi="Alef" w:cs="Alef"/>
                  <w:sz w:val="80"/>
                  <w:szCs w:val="80"/>
                  <w:rtl/>
                </w:rPr>
                <w:alias w:val="כותרת"/>
                <w:id w:val="15524250"/>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14:paraId="521CEB67" w14:textId="1C69688F" w:rsidR="00EB5588" w:rsidRPr="00BA63B1" w:rsidRDefault="00402C21" w:rsidP="006439A8">
                    <w:pPr>
                      <w:pStyle w:val="NoSpacing"/>
                      <w:jc w:val="center"/>
                      <w:rPr>
                        <w:rFonts w:ascii="Alef" w:eastAsiaTheme="majorEastAsia" w:hAnsi="Alef" w:cs="Alef"/>
                        <w:sz w:val="80"/>
                        <w:szCs w:val="80"/>
                        <w:rtl/>
                        <w:cs/>
                      </w:rPr>
                    </w:pPr>
                    <w:r>
                      <w:rPr>
                        <w:rFonts w:ascii="Alef" w:eastAsiaTheme="majorEastAsia" w:hAnsi="Alef" w:cs="Alef"/>
                        <w:sz w:val="80"/>
                        <w:szCs w:val="80"/>
                        <w:rtl/>
                      </w:rPr>
                      <w:t>דוח הערכת השפעת רגולציה</w:t>
                    </w:r>
                  </w:p>
                </w:tc>
              </w:sdtContent>
            </w:sdt>
          </w:tr>
          <w:tr w:rsidR="00EB5588" w:rsidRPr="00BA63B1" w14:paraId="483D3D64" w14:textId="77777777" w:rsidTr="006439A8">
            <w:trPr>
              <w:trHeight w:val="726"/>
              <w:jc w:val="center"/>
            </w:trPr>
            <w:sdt>
              <w:sdtPr>
                <w:rPr>
                  <w:rFonts w:ascii="Alef" w:hAnsi="Alef" w:cs="Alef"/>
                  <w:sz w:val="32"/>
                  <w:szCs w:val="32"/>
                  <w:rtl/>
                </w:rPr>
                <w:alias w:val="כותרת משנה"/>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14:paraId="51691AFD" w14:textId="02FD2376" w:rsidR="00EB5588" w:rsidRPr="00BA63B1" w:rsidRDefault="004060F1" w:rsidP="0029083E">
                    <w:pPr>
                      <w:pStyle w:val="NoSpacing"/>
                      <w:jc w:val="center"/>
                      <w:rPr>
                        <w:rFonts w:ascii="Alef" w:eastAsiaTheme="majorEastAsia" w:hAnsi="Alef" w:cs="Alef"/>
                        <w:sz w:val="44"/>
                        <w:szCs w:val="44"/>
                      </w:rPr>
                    </w:pPr>
                    <w:r w:rsidRPr="004060F1">
                      <w:rPr>
                        <w:rFonts w:ascii="Alef" w:hAnsi="Alef" w:cs="Alef"/>
                        <w:sz w:val="32"/>
                        <w:szCs w:val="32"/>
                        <w:rtl/>
                      </w:rPr>
                      <w:t>טיוטת כללי התחרות הכלכלית (פטור סוג להסכמי הפצה בלעדית) (הוראת שעה) (תיקון מס'), התשפ"ג-2023</w:t>
                    </w:r>
                  </w:p>
                </w:tc>
              </w:sdtContent>
            </w:sdt>
          </w:tr>
          <w:tr w:rsidR="00EB5588" w:rsidRPr="00BA63B1" w14:paraId="08E0B17A" w14:textId="77777777" w:rsidTr="006439A8">
            <w:trPr>
              <w:trHeight w:val="363"/>
              <w:jc w:val="center"/>
            </w:trPr>
            <w:tc>
              <w:tcPr>
                <w:tcW w:w="5000" w:type="pct"/>
                <w:vAlign w:val="center"/>
              </w:tcPr>
              <w:p w14:paraId="70690B3A" w14:textId="57A91344" w:rsidR="00EB5588" w:rsidRPr="00BA63B1" w:rsidRDefault="00C860E1" w:rsidP="00F26CA2">
                <w:pPr>
                  <w:pStyle w:val="NoSpacing"/>
                  <w:jc w:val="center"/>
                  <w:rPr>
                    <w:rFonts w:ascii="Alef" w:hAnsi="Alef" w:cs="Alef"/>
                    <w:b/>
                    <w:bCs/>
                    <w:rtl/>
                    <w:cs/>
                  </w:rPr>
                </w:pPr>
                <w:r>
                  <w:rPr>
                    <w:rFonts w:ascii="Alef" w:hAnsi="Alef" w:cs="Alef" w:hint="cs"/>
                    <w:b/>
                    <w:bCs/>
                    <w:rtl/>
                  </w:rPr>
                  <w:t>20/4/2023</w:t>
                </w:r>
              </w:p>
            </w:tc>
          </w:tr>
        </w:tbl>
        <w:p w14:paraId="2F053D1C" w14:textId="77777777" w:rsidR="00EB5588" w:rsidRPr="00BA63B1" w:rsidRDefault="00EB5588" w:rsidP="00EB5588">
          <w:pPr>
            <w:rPr>
              <w:rFonts w:ascii="Alef" w:hAnsi="Alef" w:cs="Alef"/>
              <w:b/>
              <w:bCs/>
              <w:rtl/>
            </w:rPr>
          </w:pPr>
        </w:p>
        <w:p w14:paraId="77061FF4" w14:textId="77777777" w:rsidR="00EB5588" w:rsidRPr="00BA63B1" w:rsidRDefault="00EB5588" w:rsidP="00EB5588">
          <w:pPr>
            <w:ind w:left="1440"/>
            <w:rPr>
              <w:rFonts w:ascii="Alef" w:hAnsi="Alef" w:cs="Alef"/>
              <w:b/>
              <w:bCs/>
              <w:sz w:val="28"/>
              <w:szCs w:val="28"/>
              <w:rtl/>
            </w:rPr>
          </w:pPr>
        </w:p>
        <w:p w14:paraId="4104CA1A" w14:textId="71D7A923" w:rsidR="00EB5588" w:rsidRPr="00BA63B1" w:rsidRDefault="00EB5588" w:rsidP="003F3817">
          <w:pPr>
            <w:rPr>
              <w:rFonts w:ascii="Alef" w:hAnsi="Alef" w:cs="Alef"/>
              <w:b/>
              <w:bCs/>
              <w:sz w:val="28"/>
              <w:szCs w:val="28"/>
              <w:rtl/>
              <w:cs/>
            </w:rPr>
          </w:pPr>
          <w:r w:rsidRPr="00BA63B1">
            <w:rPr>
              <w:rFonts w:ascii="Alef" w:hAnsi="Alef" w:cs="Alef"/>
              <w:b/>
              <w:bCs/>
              <w:sz w:val="28"/>
              <w:szCs w:val="28"/>
              <w:u w:val="single"/>
              <w:rtl/>
            </w:rPr>
            <w:t>עור</w:t>
          </w:r>
          <w:r w:rsidR="00AA4AA7">
            <w:rPr>
              <w:rFonts w:ascii="Alef" w:hAnsi="Alef" w:cs="Alef" w:hint="cs"/>
              <w:b/>
              <w:bCs/>
              <w:sz w:val="28"/>
              <w:szCs w:val="28"/>
              <w:u w:val="single"/>
              <w:rtl/>
            </w:rPr>
            <w:t>ך הדו"ח</w:t>
          </w:r>
          <w:r w:rsidRPr="00BA63B1">
            <w:rPr>
              <w:rFonts w:ascii="Alef" w:hAnsi="Alef" w:cs="Alef"/>
              <w:b/>
              <w:bCs/>
              <w:sz w:val="28"/>
              <w:szCs w:val="28"/>
              <w:rtl/>
            </w:rPr>
            <w:t xml:space="preserve">: </w:t>
          </w:r>
          <w:r w:rsidR="00AA4AA7">
            <w:rPr>
              <w:rFonts w:ascii="Alef" w:hAnsi="Alef" w:cs="Alef" w:hint="cs"/>
              <w:b/>
              <w:bCs/>
              <w:sz w:val="28"/>
              <w:szCs w:val="28"/>
              <w:rtl/>
            </w:rPr>
            <w:t>עו"ד איל שפירא</w:t>
          </w:r>
        </w:p>
        <w:p w14:paraId="6FCA2806" w14:textId="77777777" w:rsidR="00EB5588" w:rsidRPr="00BA63B1" w:rsidRDefault="00EB5588" w:rsidP="00EB5588">
          <w:pPr>
            <w:rPr>
              <w:rFonts w:ascii="Alef" w:hAnsi="Alef" w:cs="Alef"/>
              <w:rtl/>
              <w:cs/>
            </w:rPr>
          </w:pPr>
        </w:p>
        <w:p w14:paraId="396E738E" w14:textId="77777777" w:rsidR="00EB5588" w:rsidRPr="00BA63B1" w:rsidRDefault="00EB5588" w:rsidP="00EB5588">
          <w:pPr>
            <w:rPr>
              <w:rFonts w:ascii="Alef" w:hAnsi="Alef" w:cs="Alef"/>
              <w:rtl/>
              <w:cs/>
            </w:rPr>
          </w:pPr>
        </w:p>
        <w:p w14:paraId="5D53CE59" w14:textId="77777777" w:rsidR="00EB5588" w:rsidRPr="00BA63B1" w:rsidRDefault="00EB5588" w:rsidP="00EB5588">
          <w:pPr>
            <w:bidi w:val="0"/>
            <w:rPr>
              <w:rFonts w:ascii="Alef" w:eastAsiaTheme="majorEastAsia" w:hAnsi="Alef" w:cs="Alef"/>
              <w:sz w:val="72"/>
              <w:szCs w:val="72"/>
            </w:rPr>
          </w:pPr>
          <w:r w:rsidRPr="00BA63B1">
            <w:rPr>
              <w:rFonts w:ascii="Alef" w:eastAsiaTheme="majorEastAsia" w:hAnsi="Alef" w:cs="Alef"/>
              <w:sz w:val="72"/>
              <w:szCs w:val="72"/>
              <w:rtl/>
            </w:rPr>
            <w:br w:type="page"/>
          </w:r>
        </w:p>
      </w:sdtContent>
    </w:sdt>
    <w:p w14:paraId="73201C46" w14:textId="4B9AD2D9" w:rsidR="00EB5588" w:rsidRPr="00BA63B1" w:rsidRDefault="00EB5588" w:rsidP="00F301EF">
      <w:pPr>
        <w:pStyle w:val="Heading1"/>
        <w:rPr>
          <w:rFonts w:ascii="Alef" w:hAnsi="Alef" w:cs="Alef"/>
          <w:b/>
          <w:bCs/>
          <w:color w:val="auto"/>
          <w:sz w:val="28"/>
          <w:szCs w:val="28"/>
          <w:rtl/>
        </w:rPr>
      </w:pPr>
      <w:r w:rsidRPr="00BA63B1">
        <w:rPr>
          <w:rFonts w:ascii="Alef" w:hAnsi="Alef" w:cs="Alef"/>
          <w:b/>
          <w:bCs/>
          <w:color w:val="auto"/>
          <w:sz w:val="28"/>
          <w:szCs w:val="28"/>
          <w:rtl/>
        </w:rPr>
        <w:lastRenderedPageBreak/>
        <w:t>רקע – פטורי סוג</w:t>
      </w:r>
    </w:p>
    <w:p w14:paraId="31E99182" w14:textId="637BEDC5" w:rsidR="00EB5588" w:rsidRPr="00BA63B1" w:rsidRDefault="00EB5588" w:rsidP="00EB5588">
      <w:pPr>
        <w:jc w:val="both"/>
        <w:rPr>
          <w:rFonts w:ascii="Alef" w:hAnsi="Alef" w:cs="Alef"/>
          <w:sz w:val="24"/>
          <w:szCs w:val="24"/>
          <w:rtl/>
        </w:rPr>
      </w:pPr>
      <w:r w:rsidRPr="00BA63B1">
        <w:rPr>
          <w:rFonts w:ascii="Alef" w:hAnsi="Alef" w:cs="Alef"/>
          <w:sz w:val="24"/>
          <w:szCs w:val="24"/>
          <w:rtl/>
        </w:rPr>
        <w:t xml:space="preserve">חוק התחרות הכלכלית, התשמ"ח-1988 (להלן </w:t>
      </w:r>
      <w:r w:rsidRPr="00BA63B1">
        <w:rPr>
          <w:rFonts w:ascii="Alef" w:hAnsi="Alef" w:cs="Alef"/>
          <w:b/>
          <w:bCs/>
          <w:sz w:val="24"/>
          <w:szCs w:val="24"/>
          <w:rtl/>
        </w:rPr>
        <w:t>החוק</w:t>
      </w:r>
      <w:r w:rsidRPr="00BA63B1">
        <w:rPr>
          <w:rFonts w:ascii="Alef" w:hAnsi="Alef" w:cs="Alef"/>
          <w:sz w:val="24"/>
          <w:szCs w:val="24"/>
          <w:rtl/>
        </w:rPr>
        <w:t xml:space="preserve">) אוסר על </w:t>
      </w:r>
      <w:r w:rsidR="00475327">
        <w:rPr>
          <w:rFonts w:ascii="Alef" w:hAnsi="Alef" w:cs="Alef" w:hint="cs"/>
          <w:sz w:val="24"/>
          <w:szCs w:val="24"/>
          <w:rtl/>
        </w:rPr>
        <w:t>היות צד</w:t>
      </w:r>
      <w:r w:rsidR="00475327" w:rsidRPr="00BA63B1">
        <w:rPr>
          <w:rFonts w:ascii="Alef" w:hAnsi="Alef" w:cs="Alef"/>
          <w:sz w:val="24"/>
          <w:szCs w:val="24"/>
          <w:rtl/>
        </w:rPr>
        <w:t xml:space="preserve"> </w:t>
      </w:r>
      <w:r w:rsidR="00475327">
        <w:rPr>
          <w:rFonts w:ascii="Alef" w:hAnsi="Alef" w:cs="Alef" w:hint="cs"/>
          <w:sz w:val="24"/>
          <w:szCs w:val="24"/>
          <w:rtl/>
        </w:rPr>
        <w:t>ל</w:t>
      </w:r>
      <w:r w:rsidRPr="00BA63B1">
        <w:rPr>
          <w:rFonts w:ascii="Alef" w:hAnsi="Alef" w:cs="Alef"/>
          <w:sz w:val="24"/>
          <w:szCs w:val="24"/>
          <w:rtl/>
        </w:rPr>
        <w:t xml:space="preserve">הסדר כובל בלא אישור או היתר (להלן </w:t>
      </w:r>
      <w:r w:rsidRPr="00BA63B1">
        <w:rPr>
          <w:rFonts w:ascii="Alef" w:hAnsi="Alef" w:cs="Alef"/>
          <w:b/>
          <w:bCs/>
          <w:sz w:val="24"/>
          <w:szCs w:val="24"/>
          <w:rtl/>
        </w:rPr>
        <w:t>אישור</w:t>
      </w:r>
      <w:r w:rsidRPr="00BA63B1">
        <w:rPr>
          <w:rFonts w:ascii="Alef" w:hAnsi="Alef" w:cs="Alef"/>
          <w:sz w:val="24"/>
          <w:szCs w:val="24"/>
          <w:rtl/>
        </w:rPr>
        <w:t xml:space="preserve">) מבית הדין לתחרות או פטור מהממונה על התחרות (להלן </w:t>
      </w:r>
      <w:r w:rsidRPr="00BA63B1">
        <w:rPr>
          <w:rFonts w:ascii="Alef" w:hAnsi="Alef" w:cs="Alef"/>
          <w:b/>
          <w:bCs/>
          <w:sz w:val="24"/>
          <w:szCs w:val="24"/>
          <w:rtl/>
        </w:rPr>
        <w:t>הממונה</w:t>
      </w:r>
      <w:r w:rsidRPr="00BA63B1">
        <w:rPr>
          <w:rFonts w:ascii="Alef" w:hAnsi="Alef" w:cs="Alef"/>
          <w:sz w:val="24"/>
          <w:szCs w:val="24"/>
          <w:rtl/>
        </w:rPr>
        <w:t xml:space="preserve">). </w:t>
      </w:r>
    </w:p>
    <w:p w14:paraId="687FE73D" w14:textId="292BD5D0" w:rsidR="00EB5588" w:rsidRPr="00BA63B1" w:rsidRDefault="00EB5588" w:rsidP="00EB5588">
      <w:pPr>
        <w:jc w:val="both"/>
        <w:rPr>
          <w:rFonts w:ascii="Alef" w:hAnsi="Alef" w:cs="Alef"/>
          <w:sz w:val="24"/>
          <w:szCs w:val="24"/>
          <w:rtl/>
        </w:rPr>
      </w:pPr>
      <w:r w:rsidRPr="00BA63B1">
        <w:rPr>
          <w:rFonts w:ascii="Alef" w:hAnsi="Alef" w:cs="Alef"/>
          <w:sz w:val="24"/>
          <w:szCs w:val="24"/>
          <w:rtl/>
        </w:rPr>
        <w:t>החוק מגדיר הסדר כובל בצורה רחבה, כהסדר בין בני אדם המנהלים עסקים שעלול לפגוע בתחרות</w:t>
      </w:r>
      <w:r w:rsidR="00F301EF" w:rsidRPr="00BA63B1">
        <w:rPr>
          <w:rFonts w:ascii="Alef" w:hAnsi="Alef" w:cs="Alef"/>
          <w:sz w:val="24"/>
          <w:szCs w:val="24"/>
          <w:rtl/>
        </w:rPr>
        <w:t xml:space="preserve"> (ס' 2(א) לחוק)</w:t>
      </w:r>
      <w:r w:rsidRPr="00BA63B1">
        <w:rPr>
          <w:rFonts w:ascii="Alef" w:hAnsi="Alef" w:cs="Alef"/>
          <w:sz w:val="24"/>
          <w:szCs w:val="24"/>
          <w:rtl/>
        </w:rPr>
        <w:t xml:space="preserve">. החוק מוסיף וקובע כי יראו כהסדרים כובלים הסדרים הכוללים כבילה הנוגעת למחיר, ריווח, חלוקת שוק או </w:t>
      </w:r>
      <w:r w:rsidR="00AE07CE">
        <w:rPr>
          <w:rFonts w:ascii="Alef" w:hAnsi="Alef" w:cs="Alef" w:hint="cs"/>
          <w:sz w:val="24"/>
          <w:szCs w:val="24"/>
          <w:rtl/>
        </w:rPr>
        <w:t>לכ</w:t>
      </w:r>
      <w:r w:rsidRPr="00BA63B1">
        <w:rPr>
          <w:rFonts w:ascii="Alef" w:hAnsi="Alef" w:cs="Alef"/>
          <w:sz w:val="24"/>
          <w:szCs w:val="24"/>
          <w:rtl/>
        </w:rPr>
        <w:t>מות הנכסים או השירותים שיסופקו, איכותם או סוגם</w:t>
      </w:r>
      <w:r w:rsidR="00F301EF" w:rsidRPr="00BA63B1">
        <w:rPr>
          <w:rFonts w:ascii="Alef" w:hAnsi="Alef" w:cs="Alef"/>
          <w:sz w:val="24"/>
          <w:szCs w:val="24"/>
          <w:rtl/>
        </w:rPr>
        <w:t xml:space="preserve"> (ס' 2(ב) לחוק)</w:t>
      </w:r>
      <w:r w:rsidRPr="00BA63B1">
        <w:rPr>
          <w:rFonts w:ascii="Alef" w:hAnsi="Alef" w:cs="Alef"/>
          <w:sz w:val="24"/>
          <w:szCs w:val="24"/>
          <w:rtl/>
        </w:rPr>
        <w:t>.</w:t>
      </w:r>
    </w:p>
    <w:p w14:paraId="0DD70626" w14:textId="316EF80F" w:rsidR="00EB5588" w:rsidRPr="00BA63B1" w:rsidRDefault="00EB5588" w:rsidP="002B51C5">
      <w:pPr>
        <w:jc w:val="both"/>
        <w:rPr>
          <w:rFonts w:ascii="Alef" w:hAnsi="Alef" w:cs="Alef"/>
          <w:sz w:val="24"/>
          <w:szCs w:val="24"/>
          <w:rtl/>
        </w:rPr>
      </w:pPr>
      <w:r w:rsidRPr="00BA63B1">
        <w:rPr>
          <w:rFonts w:ascii="Alef" w:hAnsi="Alef" w:cs="Alef"/>
          <w:sz w:val="24"/>
          <w:szCs w:val="24"/>
          <w:rtl/>
        </w:rPr>
        <w:t xml:space="preserve">עת נחקק החוק בשנת 1988, מערך הפיקוח על הסדרים כובלים היה של רישוי מראש בלבד. בהתאם למערך פיקוח זה כל הסדר שנתפס בגדר ההגדרה הרחבה של הסדר כובל נדרש לקבל אישור מבית הדין לתחרות או פטור פרטני מהממונה. </w:t>
      </w:r>
    </w:p>
    <w:p w14:paraId="7021C3E3" w14:textId="77777777" w:rsidR="00F269D6" w:rsidRPr="00BA63B1" w:rsidRDefault="00EB5588" w:rsidP="00EB5588">
      <w:pPr>
        <w:jc w:val="both"/>
        <w:rPr>
          <w:rFonts w:ascii="Alef" w:hAnsi="Alef" w:cs="Alef"/>
          <w:sz w:val="24"/>
          <w:szCs w:val="24"/>
          <w:rtl/>
        </w:rPr>
      </w:pPr>
      <w:r w:rsidRPr="00BA63B1">
        <w:rPr>
          <w:rFonts w:ascii="Alef" w:hAnsi="Alef" w:cs="Alef"/>
          <w:sz w:val="24"/>
          <w:szCs w:val="24"/>
          <w:rtl/>
        </w:rPr>
        <w:t xml:space="preserve">בשנת 2000 מדינת ישראל הלכה כברת דרך ממערך פיקוח של רישוי מראש בלבד אל עבר אסדרה מסוג בחינה עצמית - באמצעות הוספת מנגנון פטורי הסוג לחוק – וזאת לצד אכיפה בדיעבד במידת הצורך. </w:t>
      </w:r>
    </w:p>
    <w:p w14:paraId="1D5BB471" w14:textId="795885B5" w:rsidR="00A20298" w:rsidRPr="00BA63B1" w:rsidRDefault="00EB5588" w:rsidP="00C36D21">
      <w:pPr>
        <w:jc w:val="both"/>
        <w:rPr>
          <w:rFonts w:ascii="Alef" w:hAnsi="Alef" w:cs="Alef"/>
          <w:sz w:val="24"/>
          <w:szCs w:val="24"/>
          <w:rtl/>
        </w:rPr>
      </w:pPr>
      <w:r w:rsidRPr="00BA63B1">
        <w:rPr>
          <w:rFonts w:ascii="Alef" w:hAnsi="Alef" w:cs="Alef"/>
          <w:sz w:val="24"/>
          <w:szCs w:val="24"/>
          <w:rtl/>
        </w:rPr>
        <w:t>פטורי סוג, כשמם כן הם, פוטרים את הצדדים להסדר מן הצורך בקבלת היתר מראש וזאת ביחס לסוגי הסכמי</w:t>
      </w:r>
      <w:r w:rsidR="002C1A8F" w:rsidRPr="00BA63B1">
        <w:rPr>
          <w:rFonts w:ascii="Alef" w:hAnsi="Alef" w:cs="Alef"/>
          <w:sz w:val="24"/>
          <w:szCs w:val="24"/>
          <w:rtl/>
        </w:rPr>
        <w:t>ם מסוימים</w:t>
      </w:r>
      <w:r w:rsidRPr="00BA63B1">
        <w:rPr>
          <w:rFonts w:ascii="Alef" w:hAnsi="Alef" w:cs="Alef"/>
          <w:sz w:val="24"/>
          <w:szCs w:val="24"/>
          <w:rtl/>
        </w:rPr>
        <w:t xml:space="preserve"> ובעמי</w:t>
      </w:r>
      <w:r w:rsidR="002C1A8F" w:rsidRPr="00BA63B1">
        <w:rPr>
          <w:rFonts w:ascii="Alef" w:hAnsi="Alef" w:cs="Alef"/>
          <w:sz w:val="24"/>
          <w:szCs w:val="24"/>
          <w:rtl/>
        </w:rPr>
        <w:t>דה בתנאים הקבועים בכל פטור סוג. הסדרים</w:t>
      </w:r>
      <w:r w:rsidR="001E46CF" w:rsidRPr="00BA63B1">
        <w:rPr>
          <w:rFonts w:ascii="Alef" w:hAnsi="Alef" w:cs="Alef"/>
          <w:sz w:val="24"/>
          <w:szCs w:val="24"/>
          <w:rtl/>
        </w:rPr>
        <w:t xml:space="preserve"> </w:t>
      </w:r>
      <w:r w:rsidR="00C36D21" w:rsidRPr="00BA63B1">
        <w:rPr>
          <w:rFonts w:ascii="Alef" w:hAnsi="Alef" w:cs="Alef"/>
          <w:sz w:val="24"/>
          <w:szCs w:val="24"/>
          <w:rtl/>
        </w:rPr>
        <w:t xml:space="preserve">מסוימים </w:t>
      </w:r>
      <w:r w:rsidR="001E46CF" w:rsidRPr="00BA63B1">
        <w:rPr>
          <w:rFonts w:ascii="Alef" w:hAnsi="Alef" w:cs="Alef"/>
          <w:sz w:val="24"/>
          <w:szCs w:val="24"/>
          <w:rtl/>
        </w:rPr>
        <w:t>אשר נלכדים תחת ההגדרה הרחבה של הסדר כובל אך</w:t>
      </w:r>
      <w:r w:rsidR="002C1A8F" w:rsidRPr="00BA63B1">
        <w:rPr>
          <w:rFonts w:ascii="Alef" w:hAnsi="Alef" w:cs="Alef"/>
          <w:sz w:val="24"/>
          <w:szCs w:val="24"/>
          <w:rtl/>
        </w:rPr>
        <w:t xml:space="preserve"> אינם פוגעים בתחרות פגיעה משמעותית, שעיקרם אינו בהפחתת התחרות ואין בהם כבילות שאינן נחוצות למימוש עיקרם</w:t>
      </w:r>
      <w:r w:rsidR="001E46CF" w:rsidRPr="00BA63B1">
        <w:rPr>
          <w:rFonts w:ascii="Alef" w:hAnsi="Alef" w:cs="Alef"/>
          <w:sz w:val="24"/>
          <w:szCs w:val="24"/>
          <w:rtl/>
        </w:rPr>
        <w:t xml:space="preserve"> יוכלו לחסות תחת פטור</w:t>
      </w:r>
      <w:r w:rsidR="00C36D21" w:rsidRPr="00BA63B1">
        <w:rPr>
          <w:rFonts w:ascii="Alef" w:hAnsi="Alef" w:cs="Alef"/>
          <w:sz w:val="24"/>
          <w:szCs w:val="24"/>
          <w:rtl/>
        </w:rPr>
        <w:t>י</w:t>
      </w:r>
      <w:r w:rsidR="001E46CF" w:rsidRPr="00BA63B1">
        <w:rPr>
          <w:rFonts w:ascii="Alef" w:hAnsi="Alef" w:cs="Alef"/>
          <w:sz w:val="24"/>
          <w:szCs w:val="24"/>
          <w:rtl/>
        </w:rPr>
        <w:t xml:space="preserve"> הסוג. באופן זה, שיתופי פעולה לגיטימי</w:t>
      </w:r>
      <w:r w:rsidR="00591ED3" w:rsidRPr="00BA63B1">
        <w:rPr>
          <w:rFonts w:ascii="Alef" w:hAnsi="Alef" w:cs="Alef"/>
          <w:sz w:val="24"/>
          <w:szCs w:val="24"/>
          <w:rtl/>
        </w:rPr>
        <w:t xml:space="preserve">ים ושכיחים יוכשרו ללא היתר מראש וזאת לטובת יצירת סביבה עסקית יעילה ודינמית. </w:t>
      </w:r>
    </w:p>
    <w:p w14:paraId="3666C000" w14:textId="245D8FDC" w:rsidR="00BA5AA4" w:rsidRPr="00BA63B1" w:rsidRDefault="00EB5588" w:rsidP="00EB5588">
      <w:pPr>
        <w:jc w:val="both"/>
        <w:rPr>
          <w:rFonts w:ascii="Alef" w:hAnsi="Alef" w:cs="Alef"/>
          <w:sz w:val="24"/>
          <w:szCs w:val="24"/>
          <w:rtl/>
        </w:rPr>
      </w:pPr>
      <w:r w:rsidRPr="00BA63B1">
        <w:rPr>
          <w:rFonts w:ascii="Alef" w:hAnsi="Alef" w:cs="Alef"/>
          <w:sz w:val="24"/>
          <w:szCs w:val="24"/>
          <w:rtl/>
        </w:rPr>
        <w:t xml:space="preserve">מקור ההשראה לשימוש בפטורי סוג הוא </w:t>
      </w:r>
      <w:r w:rsidR="0077614E">
        <w:rPr>
          <w:rFonts w:ascii="Alef" w:hAnsi="Alef" w:cs="Alef" w:hint="cs"/>
          <w:sz w:val="24"/>
          <w:szCs w:val="24"/>
          <w:rtl/>
        </w:rPr>
        <w:t>בדיני התחרות שחלים באיחוד האירופי</w:t>
      </w:r>
      <w:r w:rsidR="0077614E" w:rsidRPr="00BA63B1">
        <w:rPr>
          <w:rFonts w:ascii="Alef" w:hAnsi="Alef" w:cs="Alef"/>
          <w:sz w:val="24"/>
          <w:szCs w:val="24"/>
          <w:rtl/>
        </w:rPr>
        <w:t xml:space="preserve"> </w:t>
      </w:r>
      <w:r w:rsidRPr="00BA63B1">
        <w:rPr>
          <w:rFonts w:ascii="Alef" w:hAnsi="Alef" w:cs="Alef"/>
          <w:sz w:val="24"/>
          <w:szCs w:val="24"/>
          <w:rtl/>
        </w:rPr>
        <w:t xml:space="preserve">שם פטורי סוג מכונים </w:t>
      </w:r>
      <w:r w:rsidRPr="00BA63B1">
        <w:rPr>
          <w:rFonts w:ascii="Alef" w:hAnsi="Alef" w:cs="Alef"/>
          <w:sz w:val="24"/>
          <w:szCs w:val="24"/>
        </w:rPr>
        <w:t>Block Exemptions</w:t>
      </w:r>
      <w:r w:rsidRPr="00BA63B1">
        <w:rPr>
          <w:rFonts w:ascii="Alef" w:hAnsi="Alef" w:cs="Alef"/>
          <w:sz w:val="24"/>
          <w:szCs w:val="24"/>
          <w:rtl/>
        </w:rPr>
        <w:t xml:space="preserve">. </w:t>
      </w:r>
    </w:p>
    <w:p w14:paraId="0D13A45E" w14:textId="481E4B64" w:rsidR="00EB5588" w:rsidRPr="00BA63B1" w:rsidRDefault="00EB5588" w:rsidP="00EB5588">
      <w:pPr>
        <w:jc w:val="both"/>
        <w:rPr>
          <w:rFonts w:ascii="Alef" w:hAnsi="Alef" w:cs="Alef"/>
          <w:sz w:val="24"/>
          <w:szCs w:val="24"/>
          <w:rtl/>
        </w:rPr>
      </w:pPr>
      <w:r w:rsidRPr="00BA63B1">
        <w:rPr>
          <w:rFonts w:ascii="Alef" w:hAnsi="Alef" w:cs="Alef"/>
          <w:sz w:val="24"/>
          <w:szCs w:val="24"/>
          <w:rtl/>
        </w:rPr>
        <w:t>לצד האסדרה העצמית בדמות פטורי הסוג קיימת מערכת שמטרתה לפקח, לאתר ולאכוף הפרות של החוק</w:t>
      </w:r>
      <w:r w:rsidR="0077614E">
        <w:rPr>
          <w:rFonts w:ascii="Alef" w:hAnsi="Alef" w:cs="Alef" w:hint="cs"/>
          <w:sz w:val="24"/>
          <w:szCs w:val="24"/>
          <w:rtl/>
        </w:rPr>
        <w:t xml:space="preserve"> באמצעות ענישה פלילית ועיצומים כספיים</w:t>
      </w:r>
      <w:r w:rsidRPr="00BA63B1">
        <w:rPr>
          <w:rFonts w:ascii="Alef" w:hAnsi="Alef" w:cs="Alef"/>
          <w:sz w:val="24"/>
          <w:szCs w:val="24"/>
          <w:rtl/>
        </w:rPr>
        <w:t xml:space="preserve">.   </w:t>
      </w:r>
    </w:p>
    <w:p w14:paraId="45956557" w14:textId="77777777" w:rsidR="00EB5588" w:rsidRPr="00BA63B1" w:rsidRDefault="00EB5588" w:rsidP="00EB5588">
      <w:pPr>
        <w:jc w:val="both"/>
        <w:rPr>
          <w:rFonts w:ascii="Alef" w:hAnsi="Alef" w:cs="Alef"/>
          <w:sz w:val="24"/>
          <w:szCs w:val="24"/>
          <w:rtl/>
        </w:rPr>
      </w:pPr>
      <w:r w:rsidRPr="00BA63B1">
        <w:rPr>
          <w:rFonts w:ascii="Alef" w:hAnsi="Alef" w:cs="Alef"/>
          <w:sz w:val="24"/>
          <w:szCs w:val="24"/>
          <w:rtl/>
        </w:rPr>
        <w:t>מנגנון פטורי הסוג עוגן בסעיף 15א לחוק כחלק מתיקון מס' 6 לחוק משנת 2000.</w:t>
      </w:r>
      <w:r w:rsidRPr="00BA63B1">
        <w:rPr>
          <w:rStyle w:val="FootnoteReference"/>
          <w:rFonts w:ascii="Alef" w:hAnsi="Alef" w:cs="Alef"/>
          <w:sz w:val="24"/>
          <w:szCs w:val="24"/>
          <w:rtl/>
        </w:rPr>
        <w:footnoteReference w:id="1"/>
      </w:r>
      <w:r w:rsidRPr="00BA63B1">
        <w:rPr>
          <w:rFonts w:ascii="Alef" w:hAnsi="Alef" w:cs="Alef"/>
          <w:sz w:val="24"/>
          <w:szCs w:val="24"/>
          <w:rtl/>
        </w:rPr>
        <w:t xml:space="preserve"> תכליתו של המנגנון, שהיה פרי יוזמת הרשות, הייתה התאמת מודל הפיקוח הקיים בחוק לצרכים המתהווים במשק דינמי עתיר עסקאות ויצירת פיקוח גמיש באמצעות הגדרת סוגי הסדרים שלא יצריכו היתר מראש. </w:t>
      </w:r>
    </w:p>
    <w:p w14:paraId="0F5DA77B" w14:textId="77777777" w:rsidR="00EB5588" w:rsidRPr="00BA63B1" w:rsidRDefault="00EB5588" w:rsidP="00EB5588">
      <w:pPr>
        <w:jc w:val="both"/>
        <w:rPr>
          <w:rFonts w:ascii="Alef" w:hAnsi="Alef" w:cs="Alef"/>
          <w:sz w:val="24"/>
          <w:szCs w:val="24"/>
          <w:rtl/>
        </w:rPr>
      </w:pPr>
      <w:r w:rsidRPr="00BA63B1">
        <w:rPr>
          <w:rFonts w:ascii="Alef" w:hAnsi="Alef" w:cs="Alef"/>
          <w:sz w:val="24"/>
          <w:szCs w:val="24"/>
          <w:rtl/>
        </w:rPr>
        <w:t>יתרונות המהלך תוארו בדברי ההסבר להצעת החוק הממשלתית</w:t>
      </w:r>
      <w:r w:rsidRPr="00BA63B1">
        <w:rPr>
          <w:rStyle w:val="FootnoteReference"/>
          <w:rFonts w:ascii="Alef" w:hAnsi="Alef" w:cs="Alef"/>
          <w:sz w:val="24"/>
          <w:szCs w:val="24"/>
          <w:rtl/>
        </w:rPr>
        <w:footnoteReference w:id="2"/>
      </w:r>
      <w:r w:rsidRPr="00BA63B1">
        <w:rPr>
          <w:rFonts w:ascii="Alef" w:hAnsi="Alef" w:cs="Alef"/>
          <w:sz w:val="24"/>
          <w:szCs w:val="24"/>
          <w:rtl/>
        </w:rPr>
        <w:t xml:space="preserve"> - "באופן זה ימוזערו עלויות העסקה, יקוצרו פרקי הזמן לקבלת אישור רשות ההגבלים העסקיים והעיקר – תושג </w:t>
      </w:r>
      <w:r w:rsidRPr="00BA63B1">
        <w:rPr>
          <w:rFonts w:ascii="Alef" w:hAnsi="Alef" w:cs="Alef"/>
          <w:sz w:val="24"/>
          <w:szCs w:val="24"/>
          <w:rtl/>
        </w:rPr>
        <w:lastRenderedPageBreak/>
        <w:t xml:space="preserve">אכוונה נורמטיבית כללית וטובה יותר של ציבור מנהלי העסקים בדבר הדרך החוקית, בהיבט דיני התחרות, לביצוע סוגים קונקרטיים של עסקאות ששכיחותן גבוהה, כגון הסכמי בלעדיות שונים, מיזמים משותפים למחקר ופיתוח והסכמי הפצה." </w:t>
      </w:r>
    </w:p>
    <w:p w14:paraId="36A7C555" w14:textId="0B2C7E6C" w:rsidR="00EB5588" w:rsidRPr="00BA63B1" w:rsidRDefault="00EB5588" w:rsidP="00FB40B9">
      <w:pPr>
        <w:jc w:val="both"/>
        <w:rPr>
          <w:rFonts w:ascii="Alef" w:hAnsi="Alef" w:cs="Alef"/>
          <w:sz w:val="24"/>
          <w:szCs w:val="24"/>
          <w:rtl/>
        </w:rPr>
      </w:pPr>
      <w:r w:rsidRPr="00BA63B1">
        <w:rPr>
          <w:rFonts w:ascii="Alef" w:hAnsi="Alef" w:cs="Alef"/>
          <w:sz w:val="24"/>
          <w:szCs w:val="24"/>
          <w:rtl/>
        </w:rPr>
        <w:t>סעיף 15א לחוק הקנה לממונה סמכות לקבוע כי סוגים מסוימים של הסדרים כובלים מותרים ואינם חייבים בפניה פרטנית לקבלת פטור או אישור. זאת</w:t>
      </w:r>
      <w:r w:rsidR="00FB40B9" w:rsidRPr="00BA63B1">
        <w:rPr>
          <w:rFonts w:ascii="Alef" w:hAnsi="Alef" w:cs="Alef"/>
          <w:sz w:val="24"/>
          <w:szCs w:val="24"/>
          <w:rtl/>
        </w:rPr>
        <w:t>,</w:t>
      </w:r>
      <w:r w:rsidRPr="00BA63B1">
        <w:rPr>
          <w:rFonts w:ascii="Alef" w:hAnsi="Alef" w:cs="Alef"/>
          <w:sz w:val="24"/>
          <w:szCs w:val="24"/>
          <w:rtl/>
        </w:rPr>
        <w:t xml:space="preserve"> </w:t>
      </w:r>
      <w:r w:rsidR="00FB40B9" w:rsidRPr="00BA63B1">
        <w:rPr>
          <w:rFonts w:ascii="Alef" w:hAnsi="Alef" w:cs="Alef"/>
          <w:sz w:val="24"/>
          <w:szCs w:val="24"/>
          <w:rtl/>
        </w:rPr>
        <w:t>כש</w:t>
      </w:r>
      <w:r w:rsidRPr="00BA63B1">
        <w:rPr>
          <w:rFonts w:ascii="Alef" w:hAnsi="Alef" w:cs="Alef"/>
          <w:sz w:val="24"/>
          <w:szCs w:val="24"/>
          <w:rtl/>
        </w:rPr>
        <w:t xml:space="preserve">מדובר בהסדרים כובלים שאינם פוגעים בתחרות פגיעה משמעותית, שעיקרם אינו בהפחתת או מניעת התחרות, ואין בהם כבילות שאינן נחוצות למימוש עיקרם. </w:t>
      </w:r>
    </w:p>
    <w:p w14:paraId="5D4A0D7E" w14:textId="77777777" w:rsidR="00EB5588" w:rsidRPr="00BA63B1" w:rsidRDefault="00EB5588" w:rsidP="00EB5588">
      <w:pPr>
        <w:jc w:val="both"/>
        <w:rPr>
          <w:rFonts w:ascii="Alef" w:hAnsi="Alef" w:cs="Alef"/>
          <w:sz w:val="24"/>
          <w:szCs w:val="24"/>
          <w:rtl/>
        </w:rPr>
      </w:pPr>
      <w:r w:rsidRPr="00BA63B1">
        <w:rPr>
          <w:rFonts w:ascii="Alef" w:hAnsi="Alef" w:cs="Alef"/>
          <w:sz w:val="24"/>
          <w:szCs w:val="24"/>
          <w:rtl/>
        </w:rPr>
        <w:t xml:space="preserve">התקנת כללי פטור סוג מותנית באישור הועדה לפטורים ומיזוגים ובחתימת שר הכלכלה, ותוקפם הוא עד 5 שנים. ניתן לחדש ולתקן את פטורי הסוג מעת לעת לתקופות נוספות שלא יעלו על חמש שנים בכל פעם. </w:t>
      </w:r>
    </w:p>
    <w:p w14:paraId="7F55240A" w14:textId="331C4EB6" w:rsidR="00232123" w:rsidRPr="00BA63B1" w:rsidRDefault="00232123" w:rsidP="00232123">
      <w:pPr>
        <w:jc w:val="both"/>
        <w:rPr>
          <w:rFonts w:ascii="Alef" w:hAnsi="Alef" w:cs="Alef"/>
          <w:sz w:val="24"/>
          <w:szCs w:val="24"/>
          <w:rtl/>
        </w:rPr>
      </w:pPr>
      <w:r w:rsidRPr="00BA63B1">
        <w:rPr>
          <w:rFonts w:ascii="Alef" w:hAnsi="Alef" w:cs="Alef"/>
          <w:sz w:val="24"/>
          <w:szCs w:val="24"/>
          <w:rtl/>
        </w:rPr>
        <w:t>הגבלת תוקפם של פטורי הסוג לחמש שנים לצד הסמכות לתקנם מעת לעת ולחדשם נועדה לשם בחינה תקופתית בדבר נחיצותם ותפקודם של פטורי הסוג</w:t>
      </w:r>
      <w:r w:rsidR="00722670" w:rsidRPr="00BA63B1">
        <w:rPr>
          <w:rFonts w:ascii="Alef" w:hAnsi="Alef" w:cs="Alef"/>
          <w:sz w:val="24"/>
          <w:szCs w:val="24"/>
          <w:rtl/>
        </w:rPr>
        <w:t>, כמו גם בחינת התאמתם של הוראות הפטורים למציאות העסקית המשתנה</w:t>
      </w:r>
      <w:r w:rsidRPr="00BA63B1">
        <w:rPr>
          <w:rFonts w:ascii="Alef" w:hAnsi="Alef" w:cs="Alef"/>
          <w:sz w:val="24"/>
          <w:szCs w:val="24"/>
          <w:rtl/>
        </w:rPr>
        <w:t xml:space="preserve">. </w:t>
      </w:r>
    </w:p>
    <w:p w14:paraId="1E377D39" w14:textId="77777777" w:rsidR="00402C21" w:rsidRPr="00402C21" w:rsidRDefault="00402C21" w:rsidP="00402C21">
      <w:pPr>
        <w:jc w:val="both"/>
        <w:rPr>
          <w:rFonts w:ascii="Alef" w:hAnsi="Alef" w:cs="Alef"/>
          <w:sz w:val="24"/>
          <w:szCs w:val="24"/>
          <w:rtl/>
        </w:rPr>
      </w:pPr>
      <w:r w:rsidRPr="00402C21">
        <w:rPr>
          <w:rFonts w:ascii="Alef" w:hAnsi="Alef" w:cs="Alef" w:hint="cs"/>
          <w:sz w:val="24"/>
          <w:szCs w:val="24"/>
          <w:rtl/>
        </w:rPr>
        <w:t xml:space="preserve">כללי התחרות הכלכלית (פטור סוג להסכמי הפצה בלעדית) (הוראת שעה), תשס"א-2001 (להלן </w:t>
      </w:r>
      <w:r w:rsidRPr="00402C21">
        <w:rPr>
          <w:rFonts w:ascii="Alef" w:hAnsi="Alef" w:cs="Alef" w:hint="eastAsia"/>
          <w:sz w:val="24"/>
          <w:szCs w:val="24"/>
          <w:rtl/>
        </w:rPr>
        <w:t>פטור</w:t>
      </w:r>
      <w:r w:rsidRPr="00402C21">
        <w:rPr>
          <w:rFonts w:ascii="Alef" w:hAnsi="Alef" w:cs="Alef"/>
          <w:sz w:val="24"/>
          <w:szCs w:val="24"/>
          <w:rtl/>
        </w:rPr>
        <w:t xml:space="preserve"> </w:t>
      </w:r>
      <w:r w:rsidRPr="00402C21">
        <w:rPr>
          <w:rFonts w:ascii="Alef" w:hAnsi="Alef" w:cs="Alef" w:hint="eastAsia"/>
          <w:sz w:val="24"/>
          <w:szCs w:val="24"/>
          <w:rtl/>
        </w:rPr>
        <w:t>הסוג</w:t>
      </w:r>
      <w:r w:rsidRPr="00402C21">
        <w:rPr>
          <w:rFonts w:ascii="Alef" w:hAnsi="Alef" w:cs="Alef" w:hint="cs"/>
          <w:sz w:val="24"/>
          <w:szCs w:val="24"/>
          <w:rtl/>
        </w:rPr>
        <w:t xml:space="preserve">) הותקנו לראשונה בשנת 2001 עם הוספת מנגנון פטורי הסוג לחוק התחרות הכלכלית, התשמ"ח-1988 (להלן החוק) והוארכו מאז מספר פעמים. </w:t>
      </w:r>
    </w:p>
    <w:p w14:paraId="0D0D456C" w14:textId="72F75B16" w:rsidR="00402C21" w:rsidRPr="00402C21" w:rsidRDefault="00402C21" w:rsidP="00402C21">
      <w:pPr>
        <w:jc w:val="both"/>
        <w:rPr>
          <w:rFonts w:ascii="Alef" w:hAnsi="Alef" w:cs="Alef"/>
          <w:sz w:val="24"/>
          <w:szCs w:val="24"/>
          <w:rtl/>
        </w:rPr>
      </w:pPr>
      <w:r w:rsidRPr="00402C21">
        <w:rPr>
          <w:rFonts w:ascii="Alef" w:hAnsi="Alef" w:cs="Alef" w:hint="cs"/>
          <w:sz w:val="24"/>
          <w:szCs w:val="24"/>
          <w:rtl/>
        </w:rPr>
        <w:t xml:space="preserve">פטור הסוג, עוסק בהסכם להפצה בלעדית, בין ספק ומפיץ במסגרתו מתחייב הספק למכור טובין מסוג מסוים רק למפיץ אחד. בהסדרים מסוג זה ישנן </w:t>
      </w:r>
      <w:proofErr w:type="spellStart"/>
      <w:r w:rsidRPr="00402C21">
        <w:rPr>
          <w:rFonts w:ascii="Alef" w:hAnsi="Alef" w:cs="Alef" w:hint="cs"/>
          <w:sz w:val="24"/>
          <w:szCs w:val="24"/>
          <w:rtl/>
        </w:rPr>
        <w:t>יעילויות</w:t>
      </w:r>
      <w:proofErr w:type="spellEnd"/>
      <w:r w:rsidRPr="00402C21">
        <w:rPr>
          <w:rFonts w:ascii="Alef" w:hAnsi="Alef" w:cs="Alef" w:hint="cs"/>
          <w:sz w:val="24"/>
          <w:szCs w:val="24"/>
          <w:rtl/>
        </w:rPr>
        <w:t xml:space="preserve">. היעילות המרכזית טמונה במניעת בעיית הרוכב החופשי. </w:t>
      </w:r>
      <w:r w:rsidRPr="00402C21">
        <w:rPr>
          <w:rFonts w:ascii="Alef" w:hAnsi="Alef" w:cs="Alef"/>
          <w:sz w:val="24"/>
          <w:szCs w:val="24"/>
          <w:rtl/>
        </w:rPr>
        <w:t>בעיית הרוכב החופשי</w:t>
      </w:r>
      <w:r w:rsidRPr="00402C21">
        <w:rPr>
          <w:rFonts w:ascii="Alef" w:hAnsi="Alef" w:cs="Alef" w:hint="cs"/>
          <w:sz w:val="24"/>
          <w:szCs w:val="24"/>
          <w:rtl/>
        </w:rPr>
        <w:t xml:space="preserve"> גורמת לכך שהמפיץ לא ישקיע במתן שירותים נלווים לצרכן במידה הרצויה, באופן שיפגע בתחרות הבין </w:t>
      </w:r>
      <w:r w:rsidRPr="00402C21">
        <w:rPr>
          <w:rFonts w:ascii="Alef" w:hAnsi="Alef" w:cs="Alef"/>
          <w:sz w:val="24"/>
          <w:szCs w:val="24"/>
          <w:rtl/>
        </w:rPr>
        <w:t>–</w:t>
      </w:r>
      <w:r w:rsidRPr="00402C21">
        <w:rPr>
          <w:rFonts w:ascii="Alef" w:hAnsi="Alef" w:cs="Alef" w:hint="cs"/>
          <w:sz w:val="24"/>
          <w:szCs w:val="24"/>
          <w:rtl/>
        </w:rPr>
        <w:t xml:space="preserve"> </w:t>
      </w:r>
      <w:proofErr w:type="spellStart"/>
      <w:r w:rsidRPr="00402C21">
        <w:rPr>
          <w:rFonts w:ascii="Alef" w:hAnsi="Alef" w:cs="Alef" w:hint="cs"/>
          <w:sz w:val="24"/>
          <w:szCs w:val="24"/>
          <w:rtl/>
        </w:rPr>
        <w:t>מותגית</w:t>
      </w:r>
      <w:proofErr w:type="spellEnd"/>
      <w:r w:rsidRPr="00402C21">
        <w:rPr>
          <w:rFonts w:ascii="Alef" w:hAnsi="Alef" w:cs="Alef" w:hint="cs"/>
          <w:sz w:val="24"/>
          <w:szCs w:val="24"/>
          <w:rtl/>
        </w:rPr>
        <w:t xml:space="preserve"> (דהיינו, תחרות בין מוצרים תחליפיים של יצרנים שונים).</w:t>
      </w:r>
      <w:r w:rsidRPr="00402C21">
        <w:rPr>
          <w:rFonts w:ascii="Alef" w:hAnsi="Alef" w:cs="Alef"/>
          <w:sz w:val="24"/>
          <w:szCs w:val="24"/>
          <w:rtl/>
        </w:rPr>
        <w:t xml:space="preserve"> </w:t>
      </w:r>
      <w:r w:rsidRPr="00402C21">
        <w:rPr>
          <w:rFonts w:ascii="Alef" w:hAnsi="Alef" w:cs="Alef" w:hint="cs"/>
          <w:sz w:val="24"/>
          <w:szCs w:val="24"/>
          <w:rtl/>
        </w:rPr>
        <w:t xml:space="preserve">לדוגמא, כאשר </w:t>
      </w:r>
      <w:r w:rsidRPr="00402C21">
        <w:rPr>
          <w:rFonts w:ascii="Alef" w:hAnsi="Alef" w:cs="Alef"/>
          <w:sz w:val="24"/>
          <w:szCs w:val="24"/>
          <w:rtl/>
        </w:rPr>
        <w:t xml:space="preserve">מפיץ </w:t>
      </w:r>
      <w:r w:rsidRPr="00402C21">
        <w:rPr>
          <w:rFonts w:ascii="Alef" w:hAnsi="Alef" w:cs="Alef" w:hint="cs"/>
          <w:sz w:val="24"/>
          <w:szCs w:val="24"/>
          <w:rtl/>
        </w:rPr>
        <w:t xml:space="preserve">אחד מבצע השקעות לצורך שיווק המוצרים ואילו מפיץ אחר, </w:t>
      </w:r>
      <w:r w:rsidRPr="00402C21">
        <w:rPr>
          <w:rFonts w:ascii="Alef" w:hAnsi="Alef" w:cs="Alef"/>
          <w:sz w:val="24"/>
          <w:szCs w:val="24"/>
          <w:rtl/>
        </w:rPr>
        <w:t>"רוכב" על מאמצי השיווק של</w:t>
      </w:r>
      <w:r w:rsidRPr="00402C21">
        <w:rPr>
          <w:rFonts w:ascii="Alef" w:hAnsi="Alef" w:cs="Alef" w:hint="cs"/>
          <w:sz w:val="24"/>
          <w:szCs w:val="24"/>
          <w:rtl/>
        </w:rPr>
        <w:t xml:space="preserve"> הראשון ו</w:t>
      </w:r>
      <w:r w:rsidRPr="00402C21">
        <w:rPr>
          <w:rFonts w:ascii="Alef" w:hAnsi="Alef" w:cs="Alef"/>
          <w:sz w:val="24"/>
          <w:szCs w:val="24"/>
          <w:rtl/>
        </w:rPr>
        <w:t>נהנה מן הגידול בביקוש למוצר כתוצאה ממאמציו של האחר</w:t>
      </w:r>
      <w:r w:rsidRPr="00402C21">
        <w:rPr>
          <w:rFonts w:ascii="Alef" w:hAnsi="Alef" w:cs="Alef" w:hint="cs"/>
          <w:sz w:val="24"/>
          <w:szCs w:val="24"/>
          <w:rtl/>
        </w:rPr>
        <w:t xml:space="preserve">, התמריץ של כל אחד מן המפיצים לבצע השקעות לצורך שיווק המוצרים יפחת. ואולם, כאשר הספק ממנה מפיץ בלעדי, אותו מפיץ יודע שהוא </w:t>
      </w:r>
      <w:proofErr w:type="spellStart"/>
      <w:r w:rsidRPr="00402C21">
        <w:rPr>
          <w:rFonts w:ascii="Alef" w:hAnsi="Alef" w:cs="Alef" w:hint="cs"/>
          <w:sz w:val="24"/>
          <w:szCs w:val="24"/>
          <w:rtl/>
        </w:rPr>
        <w:t>יהנה</w:t>
      </w:r>
      <w:proofErr w:type="spellEnd"/>
      <w:r w:rsidRPr="00402C21">
        <w:rPr>
          <w:rFonts w:ascii="Alef" w:hAnsi="Alef" w:cs="Alef" w:hint="cs"/>
          <w:sz w:val="24"/>
          <w:szCs w:val="24"/>
          <w:rtl/>
        </w:rPr>
        <w:t xml:space="preserve"> מפירות ההשקעה שלו בשיווק המוצרים ומשכך, התמריץ לשווק את המוצרים עולה. דברים אלה נכונים גם ביחס לשירותים נלווים נוספים כגון: השקעות באולמות תצוגה, הכשרת מוכרנים מקצועיים למוצרים, השקעה במערך שירות ותחזוקה של המוצרים ועוד.    </w:t>
      </w:r>
    </w:p>
    <w:p w14:paraId="44DEDB2B" w14:textId="31613B0C" w:rsidR="00402C21" w:rsidRPr="00402C21" w:rsidRDefault="00402C21" w:rsidP="00402C21">
      <w:pPr>
        <w:jc w:val="both"/>
        <w:rPr>
          <w:rFonts w:ascii="Alef" w:hAnsi="Alef" w:cs="Alef"/>
          <w:sz w:val="24"/>
          <w:szCs w:val="24"/>
          <w:rtl/>
        </w:rPr>
      </w:pPr>
      <w:r w:rsidRPr="00402C21">
        <w:rPr>
          <w:rFonts w:ascii="Alef" w:hAnsi="Alef" w:cs="Alef" w:hint="cs"/>
          <w:sz w:val="24"/>
          <w:szCs w:val="24"/>
          <w:rtl/>
        </w:rPr>
        <w:t xml:space="preserve">לצד </w:t>
      </w:r>
      <w:proofErr w:type="spellStart"/>
      <w:r w:rsidRPr="00402C21">
        <w:rPr>
          <w:rFonts w:ascii="Alef" w:hAnsi="Alef" w:cs="Alef" w:hint="cs"/>
          <w:sz w:val="24"/>
          <w:szCs w:val="24"/>
          <w:rtl/>
        </w:rPr>
        <w:t>היעילויות</w:t>
      </w:r>
      <w:proofErr w:type="spellEnd"/>
      <w:r w:rsidRPr="00402C21">
        <w:rPr>
          <w:rFonts w:ascii="Alef" w:hAnsi="Alef" w:cs="Alef" w:hint="cs"/>
          <w:sz w:val="24"/>
          <w:szCs w:val="24"/>
          <w:rtl/>
        </w:rPr>
        <w:t xml:space="preserve"> הגלומות בהסכמי הפצה בלעדית, הם עלולים להעלות מספר חששות תחרותיים, כך למשל: פגיעה בתחרות התוך </w:t>
      </w:r>
      <w:proofErr w:type="spellStart"/>
      <w:r w:rsidRPr="00402C21">
        <w:rPr>
          <w:rFonts w:ascii="Alef" w:hAnsi="Alef" w:cs="Alef" w:hint="cs"/>
          <w:sz w:val="24"/>
          <w:szCs w:val="24"/>
          <w:rtl/>
        </w:rPr>
        <w:t>מותגית</w:t>
      </w:r>
      <w:proofErr w:type="spellEnd"/>
      <w:r w:rsidRPr="00402C21">
        <w:rPr>
          <w:rFonts w:ascii="Alef" w:hAnsi="Alef" w:cs="Alef" w:hint="cs"/>
          <w:sz w:val="24"/>
          <w:szCs w:val="24"/>
          <w:rtl/>
        </w:rPr>
        <w:t xml:space="preserve">, צינון התחרות הבין </w:t>
      </w:r>
      <w:proofErr w:type="spellStart"/>
      <w:r w:rsidRPr="00402C21">
        <w:rPr>
          <w:rFonts w:ascii="Alef" w:hAnsi="Alef" w:cs="Alef" w:hint="cs"/>
          <w:sz w:val="24"/>
          <w:szCs w:val="24"/>
          <w:rtl/>
        </w:rPr>
        <w:t>מותגית</w:t>
      </w:r>
      <w:proofErr w:type="spellEnd"/>
      <w:r w:rsidRPr="00402C21">
        <w:rPr>
          <w:rFonts w:ascii="Alef" w:hAnsi="Alef" w:cs="Alef" w:hint="cs"/>
          <w:sz w:val="24"/>
          <w:szCs w:val="24"/>
          <w:rtl/>
        </w:rPr>
        <w:t>, הקלה על תיאום הן במקטע המפיצים והן במקטע הספקים</w:t>
      </w:r>
      <w:r w:rsidRPr="00402C21">
        <w:rPr>
          <w:rFonts w:ascii="Alef" w:hAnsi="Alef" w:cs="Alef"/>
          <w:sz w:val="24"/>
          <w:szCs w:val="24"/>
        </w:rPr>
        <w:t>;</w:t>
      </w:r>
      <w:r w:rsidRPr="00402C21">
        <w:rPr>
          <w:rFonts w:ascii="Alef" w:hAnsi="Alef" w:cs="Alef" w:hint="cs"/>
          <w:sz w:val="24"/>
          <w:szCs w:val="24"/>
          <w:rtl/>
        </w:rPr>
        <w:t xml:space="preserve"> דחיקת מפיצים מהשוק ועוד. לכן, לצורך הפגת החששות הללו, תחולת פטור הסוג מותנית בעמידה ברשימת תנאים, המקיימים את דרישות סעיף 15א(א) לחוק ובהתקיימם לא קיים חשש לפגיעה משמעותית בתחרות כתוצאה מההסדר. תנאים אלה כוללים, בין היתר, נתחי שוק מרביים של המפיץ (עד 30%</w:t>
      </w:r>
      <w:r w:rsidRPr="00402C21">
        <w:rPr>
          <w:rFonts w:ascii="Alef" w:hAnsi="Alef" w:cs="Alef" w:hint="cs"/>
          <w:sz w:val="24"/>
          <w:szCs w:val="24"/>
        </w:rPr>
        <w:t xml:space="preserve"> </w:t>
      </w:r>
      <w:r w:rsidRPr="00402C21">
        <w:rPr>
          <w:rFonts w:ascii="Alef" w:hAnsi="Alef" w:cs="Alef" w:hint="cs"/>
          <w:sz w:val="24"/>
          <w:szCs w:val="24"/>
          <w:rtl/>
        </w:rPr>
        <w:t xml:space="preserve">נתח שוק), </w:t>
      </w:r>
      <w:r w:rsidRPr="00402C21">
        <w:rPr>
          <w:rFonts w:ascii="Alef" w:hAnsi="Alef" w:cs="Alef" w:hint="cs"/>
          <w:sz w:val="24"/>
          <w:szCs w:val="24"/>
          <w:rtl/>
        </w:rPr>
        <w:lastRenderedPageBreak/>
        <w:t xml:space="preserve">היעדר תחולה של פטור הסוג על בעל מונופולין, קיומם של טובין תחליפיים, וכללים הנוגעים לתוכן הסכם ההפצה שבין הספק והמפיץ. </w:t>
      </w:r>
    </w:p>
    <w:p w14:paraId="20123B10" w14:textId="77777777" w:rsidR="00B216E2" w:rsidRPr="00E20BE6" w:rsidRDefault="00B216E2" w:rsidP="00B216E2">
      <w:pPr>
        <w:jc w:val="both"/>
        <w:rPr>
          <w:rFonts w:ascii="Alef" w:hAnsi="Alef" w:cs="Alef"/>
          <w:sz w:val="24"/>
          <w:szCs w:val="24"/>
          <w:rtl/>
        </w:rPr>
      </w:pPr>
      <w:r w:rsidRPr="00E20BE6">
        <w:rPr>
          <w:rFonts w:ascii="Alef" w:hAnsi="Alef" w:cs="Alef" w:hint="cs"/>
          <w:sz w:val="24"/>
          <w:szCs w:val="24"/>
          <w:rtl/>
        </w:rPr>
        <w:t xml:space="preserve">יחד עם זאת, בנוסחו הנוכחי, מאפשר פטור הסוג לכלול במסגרת הסכם להפצה בלעדית הסכמה בין ספק לבין מפיץ, לפיה אותו מפיץ לא יתקשר עם אדם לשם הפצת הטובין אל מחוץ לשטח ההסכם. הסכמה מסוג זה, מאפשרת לספק לחתום על הסכם עם מפיץ מחוץ לישראל, לפיו, בין השאר, המפיץ לא יורשה למכור את המוצרים ליבואנים אחרים בישראל. זאת, גם במקרה שבו מפיץ ישראלי יפנה אל המפיץ הזר באופן ישיר בבקשה לרכוש את המוצרים. הסכמה כזאת מקימה, בין היתר, חסם בפני יבואנים מקבילים שמעוניינים לרכוש את הסחורה מידי מפיצים מחוץ לישראל ולייבאם לישראל. </w:t>
      </w:r>
      <w:r w:rsidRPr="00E20BE6">
        <w:rPr>
          <w:rFonts w:ascii="Alef" w:hAnsi="Alef" w:cs="Alef"/>
          <w:sz w:val="24"/>
          <w:szCs w:val="24"/>
          <w:rtl/>
        </w:rPr>
        <w:t xml:space="preserve">יוער, כי כבר על פי נוסח הפטור הקיים ובוודאי על פי הנוסח המוצע, הסכמה בין ספק לבין מפיץ לפיה המפיץ יימנע מלמכור את הטובין לצרכן המצוי מחוץ לשטח ההסכם אינה נכנסת בגדרי פטור הסוג. </w:t>
      </w:r>
      <w:r w:rsidRPr="00E20BE6">
        <w:rPr>
          <w:rFonts w:ascii="Alef" w:hAnsi="Alef" w:cs="Alef" w:hint="cs"/>
          <w:sz w:val="24"/>
          <w:szCs w:val="24"/>
          <w:rtl/>
        </w:rPr>
        <w:t xml:space="preserve"> </w:t>
      </w:r>
    </w:p>
    <w:p w14:paraId="4DD68DE0" w14:textId="52D45326" w:rsidR="00402C21" w:rsidRPr="00402C21" w:rsidRDefault="00402C21" w:rsidP="00402C21">
      <w:pPr>
        <w:jc w:val="both"/>
        <w:rPr>
          <w:rFonts w:ascii="Alef" w:hAnsi="Alef" w:cs="Alef"/>
          <w:sz w:val="24"/>
          <w:szCs w:val="24"/>
          <w:rtl/>
        </w:rPr>
      </w:pPr>
      <w:r w:rsidRPr="00402C21">
        <w:rPr>
          <w:rFonts w:ascii="Alef" w:hAnsi="Alef" w:cs="Alef" w:hint="cs"/>
          <w:sz w:val="24"/>
          <w:szCs w:val="24"/>
          <w:rtl/>
        </w:rPr>
        <w:t>לכן, במסגרת התיקון, מוצע לקבוע כי הסכם הפצה בלעדית שיכלול הסכמה בין הספק לבין המפיץ לפיה המפיץ לא יתקשר עם אדם לשם הפצת הטובין אל מחוץ לשטח ההסכם או שהמפיץ יימנע מלמכור את הטובין מחוץ לשטח ההסכם, לא ייכנס לגדרי פטור הסוג.</w:t>
      </w:r>
    </w:p>
    <w:p w14:paraId="3B0DB958" w14:textId="77777777" w:rsidR="00402C21" w:rsidRPr="00402C21" w:rsidRDefault="00402C21" w:rsidP="00402C21">
      <w:pPr>
        <w:jc w:val="both"/>
        <w:rPr>
          <w:rFonts w:ascii="Alef" w:hAnsi="Alef" w:cs="Alef"/>
          <w:sz w:val="24"/>
          <w:szCs w:val="24"/>
          <w:rtl/>
        </w:rPr>
      </w:pPr>
      <w:r w:rsidRPr="00402C21">
        <w:rPr>
          <w:rFonts w:ascii="Alef" w:hAnsi="Alef" w:cs="Alef" w:hint="cs"/>
          <w:sz w:val="24"/>
          <w:szCs w:val="24"/>
          <w:rtl/>
        </w:rPr>
        <w:t>תיקון זה הולם  גם את הדין האירופי, כפי שיפורט להלן.</w:t>
      </w:r>
    </w:p>
    <w:p w14:paraId="5760BC39" w14:textId="01E36688" w:rsidR="00402C21" w:rsidRPr="00402C21" w:rsidRDefault="00402C21" w:rsidP="00402C21">
      <w:pPr>
        <w:jc w:val="both"/>
        <w:rPr>
          <w:rFonts w:ascii="Alef" w:hAnsi="Alef" w:cs="Alef"/>
          <w:sz w:val="24"/>
          <w:szCs w:val="24"/>
          <w:rtl/>
        </w:rPr>
      </w:pPr>
      <w:r w:rsidRPr="00402C21">
        <w:rPr>
          <w:rFonts w:ascii="Alef" w:hAnsi="Alef" w:cs="Alef"/>
          <w:sz w:val="24"/>
          <w:szCs w:val="24"/>
          <w:rtl/>
        </w:rPr>
        <w:t>סעיף 101(1) לאמנה האירופית</w:t>
      </w:r>
      <w:r w:rsidR="00E33C07">
        <w:rPr>
          <w:rStyle w:val="FootnoteReference"/>
          <w:rFonts w:ascii="Alef" w:hAnsi="Alef" w:cs="Alef"/>
          <w:sz w:val="24"/>
          <w:szCs w:val="24"/>
          <w:rtl/>
        </w:rPr>
        <w:footnoteReference w:id="3"/>
      </w:r>
      <w:r w:rsidRPr="00402C21">
        <w:rPr>
          <w:rFonts w:ascii="Alef" w:hAnsi="Alef" w:cs="Alef"/>
          <w:sz w:val="24"/>
          <w:szCs w:val="24"/>
          <w:rtl/>
        </w:rPr>
        <w:t xml:space="preserve"> קובע איסור גורף על הס</w:t>
      </w:r>
      <w:r w:rsidRPr="00402C21">
        <w:rPr>
          <w:rFonts w:ascii="Alef" w:hAnsi="Alef" w:cs="Alef" w:hint="cs"/>
          <w:sz w:val="24"/>
          <w:szCs w:val="24"/>
          <w:rtl/>
        </w:rPr>
        <w:t>ד</w:t>
      </w:r>
      <w:r w:rsidRPr="00402C21">
        <w:rPr>
          <w:rFonts w:ascii="Alef" w:hAnsi="Alef" w:cs="Alef"/>
          <w:sz w:val="24"/>
          <w:szCs w:val="24"/>
          <w:rtl/>
        </w:rPr>
        <w:t xml:space="preserve">רים כובלים. סעיף 101(3) </w:t>
      </w:r>
      <w:r w:rsidRPr="00402C21">
        <w:rPr>
          <w:rFonts w:ascii="Alef" w:hAnsi="Alef" w:cs="Alef" w:hint="cs"/>
          <w:sz w:val="24"/>
          <w:szCs w:val="24"/>
          <w:rtl/>
        </w:rPr>
        <w:t xml:space="preserve">לאמנה האירופית, </w:t>
      </w:r>
      <w:r w:rsidRPr="00402C21">
        <w:rPr>
          <w:rFonts w:ascii="Alef" w:hAnsi="Alef" w:cs="Alef"/>
          <w:sz w:val="24"/>
          <w:szCs w:val="24"/>
          <w:rtl/>
        </w:rPr>
        <w:t>קובע שגם הסדר שנכנס לגדרו של סעיף 101(1)</w:t>
      </w:r>
      <w:r w:rsidRPr="00402C21">
        <w:rPr>
          <w:rFonts w:ascii="Alef" w:hAnsi="Alef" w:cs="Alef"/>
          <w:sz w:val="24"/>
          <w:szCs w:val="24"/>
        </w:rPr>
        <w:t xml:space="preserve"> </w:t>
      </w:r>
      <w:r w:rsidRPr="00402C21">
        <w:rPr>
          <w:rFonts w:ascii="Alef" w:hAnsi="Alef" w:cs="Alef"/>
          <w:sz w:val="24"/>
          <w:szCs w:val="24"/>
          <w:rtl/>
        </w:rPr>
        <w:t xml:space="preserve">יכול להיות חוקי אם הוא תורם לשיפור הייצור או ההפצה של מוצרים או לשיפור היעילות, בתנאי שהשיפורים הללו מועברים לצרכן.   </w:t>
      </w:r>
    </w:p>
    <w:p w14:paraId="6B16BEA8" w14:textId="3DE22A45" w:rsidR="00402C21" w:rsidRPr="00402C21" w:rsidRDefault="00402C21" w:rsidP="00402C21">
      <w:pPr>
        <w:jc w:val="both"/>
        <w:rPr>
          <w:rFonts w:ascii="Alef" w:hAnsi="Alef" w:cs="Alef"/>
          <w:sz w:val="24"/>
          <w:szCs w:val="24"/>
          <w:rtl/>
        </w:rPr>
      </w:pPr>
      <w:r w:rsidRPr="00402C21">
        <w:rPr>
          <w:rFonts w:ascii="Alef" w:hAnsi="Alef" w:cs="Alef"/>
          <w:sz w:val="24"/>
          <w:szCs w:val="24"/>
          <w:rtl/>
        </w:rPr>
        <w:t>כמו בישראל, גם באירופה, האיסור על הסדרים כובלים הוא איסור רחב מאוד. צמצום האיסור, מעבר לצמצום הכללי הקיים בסעיף 101(3)</w:t>
      </w:r>
      <w:r w:rsidRPr="00402C21">
        <w:rPr>
          <w:rFonts w:ascii="Alef" w:hAnsi="Alef" w:cs="Alef" w:hint="cs"/>
          <w:sz w:val="24"/>
          <w:szCs w:val="24"/>
          <w:rtl/>
        </w:rPr>
        <w:t xml:space="preserve"> לאמנה האירופית</w:t>
      </w:r>
      <w:r w:rsidRPr="00402C21">
        <w:rPr>
          <w:rFonts w:ascii="Alef" w:hAnsi="Alef" w:cs="Alef"/>
          <w:sz w:val="24"/>
          <w:szCs w:val="24"/>
          <w:rtl/>
        </w:rPr>
        <w:t xml:space="preserve">, מתבצע על ידי "פטורי סוג" שמעניקים פטור גורף לסוגי הסדרים שעונים לקריטריונים הקבועים בהם. אחד מהפטורים הללו, הוא פטור הסוג </w:t>
      </w:r>
      <w:r w:rsidRPr="00402C21">
        <w:rPr>
          <w:rFonts w:ascii="Alef" w:hAnsi="Alef" w:cs="Alef" w:hint="cs"/>
          <w:sz w:val="24"/>
          <w:szCs w:val="24"/>
          <w:rtl/>
        </w:rPr>
        <w:t xml:space="preserve">האירופי </w:t>
      </w:r>
      <w:r w:rsidRPr="00402C21">
        <w:rPr>
          <w:rFonts w:ascii="Alef" w:hAnsi="Alef" w:cs="Alef"/>
          <w:sz w:val="24"/>
          <w:szCs w:val="24"/>
          <w:rtl/>
        </w:rPr>
        <w:t>להסדרים אנכיים</w:t>
      </w:r>
      <w:r w:rsidR="00347FB3">
        <w:rPr>
          <w:rStyle w:val="FootnoteReference"/>
          <w:rFonts w:ascii="Alef" w:hAnsi="Alef" w:cs="Alef"/>
          <w:sz w:val="24"/>
          <w:szCs w:val="24"/>
          <w:rtl/>
        </w:rPr>
        <w:footnoteReference w:id="4"/>
      </w:r>
      <w:r w:rsidRPr="00402C21">
        <w:rPr>
          <w:rFonts w:ascii="Alef" w:hAnsi="Alef" w:cs="Alef"/>
          <w:sz w:val="24"/>
          <w:szCs w:val="24"/>
          <w:rtl/>
        </w:rPr>
        <w:t xml:space="preserve"> (הסדרים בין שני שחקנים שנמצאים במורד/מעלה שרשרת האספקה – למשל – ספק-</w:t>
      </w:r>
      <w:r w:rsidRPr="00402C21">
        <w:rPr>
          <w:rFonts w:ascii="Alef" w:hAnsi="Alef" w:cs="Alef" w:hint="cs"/>
          <w:sz w:val="24"/>
          <w:szCs w:val="24"/>
          <w:rtl/>
        </w:rPr>
        <w:t>מפיץ)</w:t>
      </w:r>
      <w:r w:rsidRPr="00402C21">
        <w:rPr>
          <w:rFonts w:ascii="Alef" w:hAnsi="Alef" w:cs="Alef"/>
          <w:sz w:val="24"/>
          <w:szCs w:val="24"/>
          <w:rtl/>
        </w:rPr>
        <w:t>.</w:t>
      </w:r>
      <w:r w:rsidRPr="00402C21">
        <w:rPr>
          <w:rFonts w:ascii="Alef" w:hAnsi="Alef" w:cs="Alef" w:hint="cs"/>
          <w:sz w:val="24"/>
          <w:szCs w:val="24"/>
          <w:rtl/>
        </w:rPr>
        <w:t xml:space="preserve"> נקודת המוצא של פטור הסוג היא כי הסדרים אנכיים חוסים תחת פטור הסוג. יחד עם זאת, פטור הסוג מונה מספר חריגים. אחד מהחריגים הללו נוגע להסדרי הפצה בלעדיים. </w:t>
      </w:r>
    </w:p>
    <w:p w14:paraId="3F036D2D" w14:textId="7A230EFA" w:rsidR="00402C21" w:rsidRPr="00402C21" w:rsidRDefault="00402C21" w:rsidP="00402C21">
      <w:pPr>
        <w:jc w:val="both"/>
        <w:rPr>
          <w:rFonts w:ascii="Alef" w:hAnsi="Alef" w:cs="Alef"/>
          <w:sz w:val="24"/>
          <w:szCs w:val="24"/>
          <w:rtl/>
        </w:rPr>
      </w:pPr>
      <w:r w:rsidRPr="00402C21">
        <w:rPr>
          <w:rFonts w:ascii="Alef" w:hAnsi="Alef" w:cs="Alef" w:hint="cs"/>
          <w:sz w:val="24"/>
          <w:szCs w:val="24"/>
          <w:rtl/>
        </w:rPr>
        <w:t>על פי פטור הסוג האירופי, ספק ומפיץ רשאים לסכם ביניהם</w:t>
      </w:r>
      <w:r w:rsidRPr="00402C21">
        <w:rPr>
          <w:rFonts w:ascii="Alef" w:hAnsi="Alef" w:cs="Alef"/>
          <w:sz w:val="24"/>
          <w:szCs w:val="24"/>
          <w:rtl/>
        </w:rPr>
        <w:t xml:space="preserve"> </w:t>
      </w:r>
      <w:r w:rsidRPr="00402C21">
        <w:rPr>
          <w:rFonts w:ascii="Alef" w:hAnsi="Alef" w:cs="Alef" w:hint="cs"/>
          <w:sz w:val="24"/>
          <w:szCs w:val="24"/>
          <w:rtl/>
        </w:rPr>
        <w:t>ש</w:t>
      </w:r>
      <w:r w:rsidRPr="00402C21">
        <w:rPr>
          <w:rFonts w:ascii="Alef" w:hAnsi="Alef" w:cs="Alef"/>
          <w:sz w:val="24"/>
          <w:szCs w:val="24"/>
          <w:rtl/>
        </w:rPr>
        <w:t>המפיץ לא יבצע מכירות אקטיביות</w:t>
      </w:r>
      <w:r w:rsidRPr="00402C21">
        <w:rPr>
          <w:rFonts w:ascii="Alef" w:hAnsi="Alef" w:cs="Alef" w:hint="cs"/>
          <w:sz w:val="24"/>
          <w:szCs w:val="24"/>
          <w:rtl/>
        </w:rPr>
        <w:t xml:space="preserve"> (קרי </w:t>
      </w:r>
      <w:r w:rsidRPr="00402C21">
        <w:rPr>
          <w:rFonts w:ascii="Alef" w:hAnsi="Alef" w:cs="Alef"/>
          <w:sz w:val="24"/>
          <w:szCs w:val="24"/>
          <w:rtl/>
        </w:rPr>
        <w:t>–</w:t>
      </w:r>
      <w:r w:rsidRPr="00402C21">
        <w:rPr>
          <w:rFonts w:ascii="Alef" w:hAnsi="Alef" w:cs="Alef" w:hint="cs"/>
          <w:sz w:val="24"/>
          <w:szCs w:val="24"/>
          <w:rtl/>
        </w:rPr>
        <w:t xml:space="preserve"> באמצעות פעילות יזומה של המפיץ)</w:t>
      </w:r>
      <w:r w:rsidRPr="00402C21">
        <w:rPr>
          <w:rFonts w:ascii="Alef" w:hAnsi="Alef" w:cs="Alef"/>
          <w:sz w:val="24"/>
          <w:szCs w:val="24"/>
          <w:rtl/>
        </w:rPr>
        <w:t xml:space="preserve"> מחוץ לטריטוריה שקבועה בהסכם. </w:t>
      </w:r>
      <w:r w:rsidRPr="00402C21">
        <w:rPr>
          <w:rFonts w:ascii="Alef" w:hAnsi="Alef" w:cs="Alef"/>
          <w:sz w:val="24"/>
          <w:szCs w:val="24"/>
          <w:rtl/>
        </w:rPr>
        <w:lastRenderedPageBreak/>
        <w:t>יחד עם זאת, אסור, ככלל, לספק ולמפיץ ל</w:t>
      </w:r>
      <w:r w:rsidRPr="00402C21">
        <w:rPr>
          <w:rFonts w:ascii="Alef" w:hAnsi="Alef" w:cs="Alef" w:hint="cs"/>
          <w:sz w:val="24"/>
          <w:szCs w:val="24"/>
          <w:rtl/>
        </w:rPr>
        <w:t>סכם</w:t>
      </w:r>
      <w:r w:rsidRPr="00402C21">
        <w:rPr>
          <w:rFonts w:ascii="Alef" w:hAnsi="Alef" w:cs="Alef"/>
          <w:sz w:val="24"/>
          <w:szCs w:val="24"/>
          <w:rtl/>
        </w:rPr>
        <w:t xml:space="preserve"> ביניהם שהמפיץ יהיה מנוע מלבצע מכירות פסיביות אל מחוץ להסכם. </w:t>
      </w:r>
      <w:r w:rsidRPr="00402C21">
        <w:rPr>
          <w:rFonts w:ascii="Alef" w:hAnsi="Alef" w:cs="Alef" w:hint="cs"/>
          <w:sz w:val="24"/>
          <w:szCs w:val="24"/>
          <w:rtl/>
        </w:rPr>
        <w:t xml:space="preserve">מכירות פסיביות הן מכירות שהמפיץ לא ביצע עבורן צעדי מכירה אקטיביים, אלא מכירות שנוצרו כתוצאה מפנייה של הרוכש אל המפיץ. </w:t>
      </w:r>
    </w:p>
    <w:p w14:paraId="42FB3734" w14:textId="7D381C46" w:rsidR="00DA1310" w:rsidRDefault="00402C21" w:rsidP="00402C21">
      <w:pPr>
        <w:jc w:val="both"/>
        <w:rPr>
          <w:rFonts w:ascii="Alef" w:hAnsi="Alef" w:cs="Alef"/>
          <w:sz w:val="24"/>
          <w:szCs w:val="24"/>
          <w:rtl/>
        </w:rPr>
      </w:pPr>
      <w:r w:rsidRPr="00402C21">
        <w:rPr>
          <w:rFonts w:ascii="Alef" w:hAnsi="Alef" w:cs="Alef" w:hint="cs"/>
          <w:sz w:val="24"/>
          <w:szCs w:val="24"/>
          <w:rtl/>
        </w:rPr>
        <w:t>לאור האמור לעיל, מעבר לעובדה שהתיקון המוצע בפטור הסוג להסכמי הפצה בלעדית י</w:t>
      </w:r>
      <w:r w:rsidR="00550955">
        <w:rPr>
          <w:rFonts w:ascii="Alef" w:hAnsi="Alef" w:cs="Alef" w:hint="cs"/>
          <w:sz w:val="24"/>
          <w:szCs w:val="24"/>
          <w:rtl/>
        </w:rPr>
        <w:t>סיר</w:t>
      </w:r>
      <w:r w:rsidRPr="00402C21">
        <w:rPr>
          <w:rFonts w:ascii="Alef" w:hAnsi="Alef" w:cs="Alef" w:hint="cs"/>
          <w:sz w:val="24"/>
          <w:szCs w:val="24"/>
          <w:rtl/>
        </w:rPr>
        <w:t xml:space="preserve"> חסמים מפני יבוא מקביל, הוא אף הולם את האמור בדין האירופי.</w:t>
      </w:r>
    </w:p>
    <w:sectPr w:rsidR="00DA1310" w:rsidSect="00DA1310">
      <w:footerReference w:type="default" r:id="rId10"/>
      <w:pgSz w:w="11906" w:h="16838"/>
      <w:pgMar w:top="1440" w:right="1800" w:bottom="1440" w:left="1800" w:header="708" w:footer="708" w:gutter="0"/>
      <w:pgNumType w:start="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17D7C" w14:textId="77777777" w:rsidR="00191BE8" w:rsidRDefault="00191BE8" w:rsidP="001A2B54">
      <w:pPr>
        <w:spacing w:after="0" w:line="240" w:lineRule="auto"/>
      </w:pPr>
      <w:r>
        <w:separator/>
      </w:r>
    </w:p>
  </w:endnote>
  <w:endnote w:type="continuationSeparator" w:id="0">
    <w:p w14:paraId="3797D1FC" w14:textId="77777777" w:rsidR="00191BE8" w:rsidRDefault="00191BE8" w:rsidP="001A2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avid">
    <w:altName w:val="Malgun Gothic Semilight"/>
    <w:panose1 w:val="020E0502060401010101"/>
    <w:charset w:val="00"/>
    <w:family w:val="swiss"/>
    <w:pitch w:val="variable"/>
    <w:sig w:usb0="00000803" w:usb1="00000000" w:usb2="00000000" w:usb3="00000000" w:csb0="0000002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lef">
    <w:panose1 w:val="00000500000000000000"/>
    <w:charset w:val="00"/>
    <w:family w:val="auto"/>
    <w:pitch w:val="variable"/>
    <w:sig w:usb0="00000807" w:usb1="40000000" w:usb2="00000000" w:usb3="00000000" w:csb0="000000B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David"/>
        <w:sz w:val="24"/>
        <w:szCs w:val="24"/>
        <w:rtl/>
      </w:rPr>
      <w:id w:val="164445418"/>
      <w:docPartObj>
        <w:docPartGallery w:val="Page Numbers (Bottom of Page)"/>
        <w:docPartUnique/>
      </w:docPartObj>
    </w:sdtPr>
    <w:sdtEndPr>
      <w:rPr>
        <w:cs/>
      </w:rPr>
    </w:sdtEndPr>
    <w:sdtContent>
      <w:p w14:paraId="159B9952" w14:textId="3BBF60E8" w:rsidR="00956480" w:rsidRPr="00DA1310" w:rsidRDefault="00956480">
        <w:pPr>
          <w:pStyle w:val="Footer"/>
          <w:jc w:val="center"/>
          <w:rPr>
            <w:rFonts w:cs="David"/>
            <w:sz w:val="24"/>
            <w:szCs w:val="24"/>
            <w:rtl/>
            <w:cs/>
          </w:rPr>
        </w:pPr>
        <w:r w:rsidRPr="00DA1310">
          <w:rPr>
            <w:rFonts w:cs="David"/>
            <w:sz w:val="24"/>
            <w:szCs w:val="24"/>
          </w:rPr>
          <w:fldChar w:fldCharType="begin"/>
        </w:r>
        <w:r w:rsidRPr="00DA1310">
          <w:rPr>
            <w:rFonts w:cs="David"/>
            <w:sz w:val="24"/>
            <w:szCs w:val="24"/>
            <w:rtl/>
            <w:cs/>
          </w:rPr>
          <w:instrText>PAGE   \* MERGEFORMAT</w:instrText>
        </w:r>
        <w:r w:rsidRPr="00DA1310">
          <w:rPr>
            <w:rFonts w:cs="David"/>
            <w:sz w:val="24"/>
            <w:szCs w:val="24"/>
          </w:rPr>
          <w:fldChar w:fldCharType="separate"/>
        </w:r>
        <w:r w:rsidR="00AE0B2B" w:rsidRPr="00AE0B2B">
          <w:rPr>
            <w:rFonts w:cs="David"/>
            <w:noProof/>
            <w:sz w:val="24"/>
            <w:szCs w:val="24"/>
            <w:rtl/>
            <w:lang w:val="he-IL"/>
          </w:rPr>
          <w:t>11</w:t>
        </w:r>
        <w:r w:rsidRPr="00DA1310">
          <w:rPr>
            <w:rFonts w:cs="David"/>
            <w:sz w:val="24"/>
            <w:szCs w:val="24"/>
          </w:rPr>
          <w:fldChar w:fldCharType="end"/>
        </w:r>
      </w:p>
    </w:sdtContent>
  </w:sdt>
  <w:p w14:paraId="1639C31D" w14:textId="77777777" w:rsidR="00956480" w:rsidRDefault="009564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B9B08" w14:textId="77777777" w:rsidR="00191BE8" w:rsidRDefault="00191BE8" w:rsidP="001A2B54">
      <w:pPr>
        <w:spacing w:after="0" w:line="240" w:lineRule="auto"/>
      </w:pPr>
      <w:r>
        <w:separator/>
      </w:r>
    </w:p>
  </w:footnote>
  <w:footnote w:type="continuationSeparator" w:id="0">
    <w:p w14:paraId="6275D502" w14:textId="77777777" w:rsidR="00191BE8" w:rsidRDefault="00191BE8" w:rsidP="001A2B54">
      <w:pPr>
        <w:spacing w:after="0" w:line="240" w:lineRule="auto"/>
      </w:pPr>
      <w:r>
        <w:continuationSeparator/>
      </w:r>
    </w:p>
  </w:footnote>
  <w:footnote w:id="1">
    <w:p w14:paraId="6B6D7D03" w14:textId="77777777" w:rsidR="00956480" w:rsidRPr="00182CB4" w:rsidRDefault="00956480" w:rsidP="00EB5588">
      <w:pPr>
        <w:pStyle w:val="FootnoteText"/>
        <w:rPr>
          <w:rFonts w:ascii="Alef" w:hAnsi="Alef" w:cs="Alef"/>
          <w:rtl/>
        </w:rPr>
      </w:pPr>
      <w:r w:rsidRPr="00182CB4">
        <w:rPr>
          <w:rStyle w:val="FootnoteReference"/>
          <w:rFonts w:ascii="Alef" w:hAnsi="Alef" w:cs="Alef"/>
        </w:rPr>
        <w:footnoteRef/>
      </w:r>
      <w:r w:rsidRPr="00182CB4">
        <w:rPr>
          <w:rFonts w:ascii="Alef" w:hAnsi="Alef" w:cs="Alef"/>
          <w:rtl/>
        </w:rPr>
        <w:t xml:space="preserve"> ס"ח תש"ס מס' 1728, מיום 20.2.200 עמ' 113. </w:t>
      </w:r>
    </w:p>
  </w:footnote>
  <w:footnote w:id="2">
    <w:p w14:paraId="6261C8F5" w14:textId="77777777" w:rsidR="00956480" w:rsidRPr="00182CB4" w:rsidRDefault="00956480" w:rsidP="00EB5588">
      <w:pPr>
        <w:pStyle w:val="FootnoteText"/>
        <w:rPr>
          <w:rFonts w:ascii="Alef" w:hAnsi="Alef" w:cs="Alef"/>
          <w:rtl/>
        </w:rPr>
      </w:pPr>
      <w:r w:rsidRPr="00182CB4">
        <w:rPr>
          <w:rStyle w:val="FootnoteReference"/>
          <w:rFonts w:ascii="Alef" w:hAnsi="Alef" w:cs="Alef"/>
        </w:rPr>
        <w:footnoteRef/>
      </w:r>
      <w:r w:rsidRPr="00182CB4">
        <w:rPr>
          <w:rFonts w:ascii="Alef" w:hAnsi="Alef" w:cs="Alef"/>
          <w:rtl/>
        </w:rPr>
        <w:t xml:space="preserve"> </w:t>
      </w:r>
      <w:proofErr w:type="spellStart"/>
      <w:r w:rsidRPr="00182CB4">
        <w:rPr>
          <w:rFonts w:ascii="Alef" w:hAnsi="Alef" w:cs="Alef"/>
          <w:rtl/>
        </w:rPr>
        <w:t>ה"ח</w:t>
      </w:r>
      <w:proofErr w:type="spellEnd"/>
      <w:r w:rsidRPr="00182CB4">
        <w:rPr>
          <w:rFonts w:ascii="Alef" w:hAnsi="Alef" w:cs="Alef"/>
          <w:rtl/>
        </w:rPr>
        <w:t xml:space="preserve"> תשנ"ט מס' 2805, עמ' 386. </w:t>
      </w:r>
    </w:p>
  </w:footnote>
  <w:footnote w:id="3">
    <w:p w14:paraId="4A80EE53" w14:textId="77777777" w:rsidR="00E33C07" w:rsidRDefault="00E33C07" w:rsidP="00E33C07">
      <w:pPr>
        <w:pStyle w:val="FootnoteText"/>
        <w:rPr>
          <w:rtl/>
        </w:rPr>
      </w:pPr>
      <w:r>
        <w:rPr>
          <w:rStyle w:val="FootnoteReference"/>
        </w:rPr>
        <w:footnoteRef/>
      </w:r>
      <w:r>
        <w:rPr>
          <w:rtl/>
        </w:rPr>
        <w:t xml:space="preserve"> </w:t>
      </w:r>
      <w:r>
        <w:rPr>
          <w:rFonts w:hint="cs"/>
        </w:rPr>
        <w:t>C</w:t>
      </w:r>
      <w:r>
        <w:t>onsolidated Version of The Treaty on the Functioning of the European Union, C 326/47, 26.10.2012</w:t>
      </w:r>
    </w:p>
    <w:p w14:paraId="4F43B580" w14:textId="77777777" w:rsidR="00E33C07" w:rsidRDefault="003646F1" w:rsidP="00E33C07">
      <w:pPr>
        <w:pStyle w:val="FootnoteText"/>
      </w:pPr>
      <w:hyperlink r:id="rId1" w:history="1">
        <w:r w:rsidR="00E33C07" w:rsidRPr="00252B18">
          <w:rPr>
            <w:rStyle w:val="Hyperlink"/>
          </w:rPr>
          <w:t>https://eur-lex.europa.eu/legal-content/EN/TXT/PDF/?uri=CELEX:12012E/TXT&amp;from=EN</w:t>
        </w:r>
      </w:hyperlink>
    </w:p>
    <w:p w14:paraId="67F20A0A" w14:textId="5602769A" w:rsidR="00E33C07" w:rsidRPr="00E33C07" w:rsidRDefault="00E33C07">
      <w:pPr>
        <w:pStyle w:val="FootnoteText"/>
      </w:pPr>
    </w:p>
  </w:footnote>
  <w:footnote w:id="4">
    <w:p w14:paraId="76CB14A8" w14:textId="77777777" w:rsidR="00347FB3" w:rsidRDefault="00347FB3" w:rsidP="00347FB3">
      <w:pPr>
        <w:pStyle w:val="FootnoteText"/>
        <w:rPr>
          <w:rtl/>
        </w:rPr>
      </w:pPr>
      <w:r>
        <w:rPr>
          <w:rStyle w:val="FootnoteReference"/>
        </w:rPr>
        <w:footnoteRef/>
      </w:r>
      <w:r>
        <w:rPr>
          <w:rtl/>
        </w:rPr>
        <w:t xml:space="preserve"> </w:t>
      </w:r>
      <w:r w:rsidRPr="005670B1">
        <w:t xml:space="preserve">Commission Regulation (EU) No </w:t>
      </w:r>
      <w:r>
        <w:t>2022</w:t>
      </w:r>
      <w:r w:rsidRPr="005670B1">
        <w:t>/</w:t>
      </w:r>
      <w:r>
        <w:t>720</w:t>
      </w:r>
      <w:r w:rsidRPr="005670B1">
        <w:t xml:space="preserve"> of </w:t>
      </w:r>
      <w:r>
        <w:t>10</w:t>
      </w:r>
      <w:r w:rsidRPr="005670B1">
        <w:t xml:space="preserve"> </w:t>
      </w:r>
      <w:r>
        <w:t>May</w:t>
      </w:r>
      <w:r w:rsidRPr="005670B1">
        <w:t xml:space="preserve"> </w:t>
      </w:r>
      <w:r>
        <w:t>2022</w:t>
      </w:r>
      <w:r w:rsidRPr="005670B1">
        <w:t xml:space="preserve"> on the application of Article 101(3) of the Treaty on the Functioning of the European Union to categories of vertical agreements and concerted practices, </w:t>
      </w:r>
      <w:r>
        <w:t xml:space="preserve">L 134/4 </w:t>
      </w:r>
      <w:r w:rsidRPr="005670B1">
        <w:t>(</w:t>
      </w:r>
      <w:r>
        <w:t>11.5.2022</w:t>
      </w:r>
      <w:r w:rsidRPr="005670B1">
        <w:t>)</w:t>
      </w:r>
    </w:p>
    <w:p w14:paraId="5216E344" w14:textId="67E456C8" w:rsidR="00347FB3" w:rsidRDefault="003646F1" w:rsidP="00347FB3">
      <w:pPr>
        <w:pStyle w:val="FootnoteText"/>
      </w:pPr>
      <w:hyperlink r:id="rId2" w:history="1">
        <w:r w:rsidR="00347FB3" w:rsidRPr="00252B18">
          <w:rPr>
            <w:rStyle w:val="Hyperlink"/>
          </w:rPr>
          <w:t>https://eur-lex.europa.eu/legal-content/EN/TXT/?uri=CELEX%3A32022R0720&amp;qid=1652368074897</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750FA"/>
    <w:multiLevelType w:val="hybridMultilevel"/>
    <w:tmpl w:val="D75C7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514D2"/>
    <w:multiLevelType w:val="hybridMultilevel"/>
    <w:tmpl w:val="7FD2FB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A1CFD"/>
    <w:multiLevelType w:val="hybridMultilevel"/>
    <w:tmpl w:val="579A22D2"/>
    <w:lvl w:ilvl="0" w:tplc="4D7615C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F31EE"/>
    <w:multiLevelType w:val="multilevel"/>
    <w:tmpl w:val="880466A4"/>
    <w:lvl w:ilvl="0">
      <w:start w:val="19"/>
      <w:numFmt w:val="decimal"/>
      <w:lvlText w:val="%1."/>
      <w:lvlJc w:val="left"/>
      <w:pPr>
        <w:ind w:left="435" w:hanging="435"/>
      </w:pPr>
      <w:rPr>
        <w:rFonts w:hint="default"/>
        <w:sz w:val="24"/>
      </w:rPr>
    </w:lvl>
    <w:lvl w:ilvl="1">
      <w:start w:val="1"/>
      <w:numFmt w:val="decimal"/>
      <w:lvlText w:val="%1.%2."/>
      <w:lvlJc w:val="left"/>
      <w:pPr>
        <w:ind w:left="435" w:hanging="435"/>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4" w15:restartNumberingAfterBreak="0">
    <w:nsid w:val="1D5D31F7"/>
    <w:multiLevelType w:val="hybridMultilevel"/>
    <w:tmpl w:val="931E7CF2"/>
    <w:lvl w:ilvl="0" w:tplc="23AE44D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925E5A"/>
    <w:multiLevelType w:val="hybridMultilevel"/>
    <w:tmpl w:val="4E0EC7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A80DFA"/>
    <w:multiLevelType w:val="multilevel"/>
    <w:tmpl w:val="DD6629D2"/>
    <w:lvl w:ilvl="0">
      <w:start w:val="19"/>
      <w:numFmt w:val="decimal"/>
      <w:lvlText w:val="%1."/>
      <w:lvlJc w:val="left"/>
      <w:pPr>
        <w:ind w:left="435" w:hanging="435"/>
      </w:pPr>
      <w:rPr>
        <w:rFonts w:hint="default"/>
        <w:sz w:val="24"/>
      </w:rPr>
    </w:lvl>
    <w:lvl w:ilvl="1">
      <w:start w:val="1"/>
      <w:numFmt w:val="decimal"/>
      <w:lvlText w:val="%1.%2."/>
      <w:lvlJc w:val="left"/>
      <w:pPr>
        <w:ind w:left="661" w:hanging="435"/>
      </w:pPr>
      <w:rPr>
        <w:rFonts w:hint="default"/>
        <w:sz w:val="24"/>
      </w:rPr>
    </w:lvl>
    <w:lvl w:ilvl="2">
      <w:start w:val="1"/>
      <w:numFmt w:val="decimal"/>
      <w:lvlText w:val="%1.%2.%3."/>
      <w:lvlJc w:val="left"/>
      <w:pPr>
        <w:ind w:left="1172" w:hanging="720"/>
      </w:pPr>
      <w:rPr>
        <w:rFonts w:hint="default"/>
        <w:sz w:val="24"/>
      </w:rPr>
    </w:lvl>
    <w:lvl w:ilvl="3">
      <w:start w:val="1"/>
      <w:numFmt w:val="decimal"/>
      <w:lvlText w:val="%1.%2.%3.%4."/>
      <w:lvlJc w:val="left"/>
      <w:pPr>
        <w:ind w:left="1398" w:hanging="720"/>
      </w:pPr>
      <w:rPr>
        <w:rFonts w:hint="default"/>
        <w:sz w:val="24"/>
      </w:rPr>
    </w:lvl>
    <w:lvl w:ilvl="4">
      <w:start w:val="1"/>
      <w:numFmt w:val="decimal"/>
      <w:lvlText w:val="%1.%2.%3.%4.%5."/>
      <w:lvlJc w:val="left"/>
      <w:pPr>
        <w:ind w:left="1984" w:hanging="1080"/>
      </w:pPr>
      <w:rPr>
        <w:rFonts w:hint="default"/>
        <w:sz w:val="24"/>
      </w:rPr>
    </w:lvl>
    <w:lvl w:ilvl="5">
      <w:start w:val="1"/>
      <w:numFmt w:val="decimal"/>
      <w:lvlText w:val="%1.%2.%3.%4.%5.%6."/>
      <w:lvlJc w:val="left"/>
      <w:pPr>
        <w:ind w:left="2210" w:hanging="1080"/>
      </w:pPr>
      <w:rPr>
        <w:rFonts w:hint="default"/>
        <w:sz w:val="24"/>
      </w:rPr>
    </w:lvl>
    <w:lvl w:ilvl="6">
      <w:start w:val="1"/>
      <w:numFmt w:val="decimal"/>
      <w:lvlText w:val="%1.%2.%3.%4.%5.%6.%7."/>
      <w:lvlJc w:val="left"/>
      <w:pPr>
        <w:ind w:left="2436" w:hanging="1080"/>
      </w:pPr>
      <w:rPr>
        <w:rFonts w:hint="default"/>
        <w:sz w:val="24"/>
      </w:rPr>
    </w:lvl>
    <w:lvl w:ilvl="7">
      <w:start w:val="1"/>
      <w:numFmt w:val="decimal"/>
      <w:lvlText w:val="%1.%2.%3.%4.%5.%6.%7.%8."/>
      <w:lvlJc w:val="left"/>
      <w:pPr>
        <w:ind w:left="3022" w:hanging="1440"/>
      </w:pPr>
      <w:rPr>
        <w:rFonts w:hint="default"/>
        <w:sz w:val="24"/>
      </w:rPr>
    </w:lvl>
    <w:lvl w:ilvl="8">
      <w:start w:val="1"/>
      <w:numFmt w:val="decimal"/>
      <w:lvlText w:val="%1.%2.%3.%4.%5.%6.%7.%8.%9."/>
      <w:lvlJc w:val="left"/>
      <w:pPr>
        <w:ind w:left="3248" w:hanging="1440"/>
      </w:pPr>
      <w:rPr>
        <w:rFonts w:hint="default"/>
        <w:sz w:val="24"/>
      </w:rPr>
    </w:lvl>
  </w:abstractNum>
  <w:abstractNum w:abstractNumId="7" w15:restartNumberingAfterBreak="0">
    <w:nsid w:val="28A7464D"/>
    <w:multiLevelType w:val="hybridMultilevel"/>
    <w:tmpl w:val="602E3D58"/>
    <w:lvl w:ilvl="0" w:tplc="D06A012C">
      <w:start w:val="1"/>
      <w:numFmt w:val="decimal"/>
      <w:lvlText w:val="(%1)"/>
      <w:lvlJc w:val="left"/>
      <w:pPr>
        <w:ind w:left="1211"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961FDD"/>
    <w:multiLevelType w:val="hybridMultilevel"/>
    <w:tmpl w:val="35CC40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460074"/>
    <w:multiLevelType w:val="hybridMultilevel"/>
    <w:tmpl w:val="3DF67DDE"/>
    <w:lvl w:ilvl="0" w:tplc="CAE0880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3059063F"/>
    <w:multiLevelType w:val="multilevel"/>
    <w:tmpl w:val="EB0E2796"/>
    <w:lvl w:ilvl="0">
      <w:start w:val="1"/>
      <w:numFmt w:val="decimal"/>
      <w:lvlText w:val="%1."/>
      <w:lvlJc w:val="left"/>
      <w:pPr>
        <w:ind w:left="720" w:hanging="360"/>
      </w:pPr>
      <w:rPr>
        <w:rFonts w:ascii="David" w:hAnsi="David" w:hint="default"/>
      </w:rPr>
    </w:lvl>
    <w:lvl w:ilvl="1">
      <w:start w:val="1"/>
      <w:numFmt w:val="decimal"/>
      <w:isLgl/>
      <w:lvlText w:val="%1.%2"/>
      <w:lvlJc w:val="left"/>
      <w:pPr>
        <w:ind w:left="735" w:hanging="375"/>
      </w:pPr>
      <w:rPr>
        <w:rFonts w:hint="default"/>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080" w:hanging="72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440" w:hanging="108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1800" w:hanging="1440"/>
      </w:pPr>
      <w:rPr>
        <w:rFonts w:hint="default"/>
        <w:sz w:val="24"/>
      </w:rPr>
    </w:lvl>
  </w:abstractNum>
  <w:abstractNum w:abstractNumId="11" w15:restartNumberingAfterBreak="0">
    <w:nsid w:val="32AE789D"/>
    <w:multiLevelType w:val="multilevel"/>
    <w:tmpl w:val="7368E1FA"/>
    <w:lvl w:ilvl="0">
      <w:start w:val="1"/>
      <w:numFmt w:val="decimal"/>
      <w:pStyle w:val="1"/>
      <w:lvlText w:val="%1."/>
      <w:lvlJc w:val="center"/>
      <w:pPr>
        <w:tabs>
          <w:tab w:val="num" w:pos="34"/>
        </w:tabs>
        <w:ind w:left="34" w:hanging="601"/>
      </w:pPr>
      <w:rPr>
        <w:rFonts w:cs="Times New Roman" w:hint="default"/>
        <w:bCs w:val="0"/>
        <w:iCs w:val="0"/>
        <w:u w:val="none"/>
      </w:rPr>
    </w:lvl>
    <w:lvl w:ilvl="1">
      <w:start w:val="1"/>
      <w:numFmt w:val="hebrew1"/>
      <w:pStyle w:val="2"/>
      <w:lvlText w:val="%2."/>
      <w:lvlJc w:val="center"/>
      <w:pPr>
        <w:tabs>
          <w:tab w:val="num" w:pos="567"/>
        </w:tabs>
        <w:ind w:left="567" w:hanging="510"/>
      </w:pPr>
      <w:rPr>
        <w:rFonts w:cs="Times New Roman" w:hint="default"/>
        <w:szCs w:val="24"/>
        <w:u w:val="none"/>
      </w:rPr>
    </w:lvl>
    <w:lvl w:ilvl="2">
      <w:start w:val="1"/>
      <w:numFmt w:val="decimal"/>
      <w:pStyle w:val="3"/>
      <w:lvlText w:val="%3)"/>
      <w:lvlJc w:val="center"/>
      <w:pPr>
        <w:tabs>
          <w:tab w:val="num" w:pos="1134"/>
        </w:tabs>
        <w:ind w:left="1134" w:hanging="567"/>
      </w:pPr>
      <w:rPr>
        <w:rFonts w:cs="Times New Roman" w:hint="default"/>
        <w:u w:val="none"/>
      </w:rPr>
    </w:lvl>
    <w:lvl w:ilvl="3">
      <w:start w:val="1"/>
      <w:numFmt w:val="hebrew1"/>
      <w:lvlText w:val="(%4)"/>
      <w:lvlJc w:val="center"/>
      <w:pPr>
        <w:tabs>
          <w:tab w:val="num" w:pos="1984"/>
        </w:tabs>
        <w:ind w:left="1984" w:hanging="510"/>
      </w:pPr>
      <w:rPr>
        <w:rFonts w:cs="Times New Roman" w:hint="default"/>
        <w:szCs w:val="24"/>
        <w:u w:val="none"/>
      </w:rPr>
    </w:lvl>
    <w:lvl w:ilvl="4">
      <w:start w:val="1"/>
      <w:numFmt w:val="upperRoman"/>
      <w:lvlText w:val="%5"/>
      <w:lvlJc w:val="center"/>
      <w:pPr>
        <w:tabs>
          <w:tab w:val="num" w:pos="2551"/>
        </w:tabs>
        <w:ind w:left="2551" w:hanging="567"/>
      </w:pPr>
      <w:rPr>
        <w:rFonts w:cs="Times New Roman" w:hint="default"/>
        <w:u w:val="none"/>
      </w:rPr>
    </w:lvl>
    <w:lvl w:ilvl="5">
      <w:start w:val="1"/>
      <w:numFmt w:val="lowerRoman"/>
      <w:lvlText w:val="%6"/>
      <w:lvlJc w:val="center"/>
      <w:pPr>
        <w:tabs>
          <w:tab w:val="num" w:pos="3118"/>
        </w:tabs>
        <w:ind w:left="3118" w:hanging="567"/>
      </w:pPr>
      <w:rPr>
        <w:rFonts w:cs="Times New Roman" w:hint="default"/>
        <w:u w:val="none"/>
      </w:rPr>
    </w:lvl>
    <w:lvl w:ilvl="6">
      <w:start w:val="1"/>
      <w:numFmt w:val="bullet"/>
      <w:lvlText w:val=""/>
      <w:lvlJc w:val="left"/>
      <w:pPr>
        <w:tabs>
          <w:tab w:val="num" w:pos="3685"/>
        </w:tabs>
        <w:ind w:left="3685" w:hanging="567"/>
      </w:pPr>
      <w:rPr>
        <w:rFonts w:ascii="Symbol" w:hAnsi="Symbol" w:hint="default"/>
        <w:u w:val="none"/>
      </w:rPr>
    </w:lvl>
    <w:lvl w:ilvl="7">
      <w:start w:val="1"/>
      <w:numFmt w:val="lowerLetter"/>
      <w:lvlText w:val="(%8)"/>
      <w:lvlJc w:val="center"/>
      <w:pPr>
        <w:tabs>
          <w:tab w:val="num" w:pos="4252"/>
        </w:tabs>
        <w:ind w:left="4252" w:hanging="510"/>
      </w:pPr>
      <w:rPr>
        <w:rFonts w:cs="Times New Roman" w:hint="default"/>
        <w:u w:val="none"/>
      </w:rPr>
    </w:lvl>
    <w:lvl w:ilvl="8">
      <w:start w:val="1"/>
      <w:numFmt w:val="lowerRoman"/>
      <w:lvlText w:val="(%9)"/>
      <w:lvlJc w:val="center"/>
      <w:pPr>
        <w:tabs>
          <w:tab w:val="num" w:pos="4819"/>
        </w:tabs>
        <w:ind w:left="4819" w:hanging="510"/>
      </w:pPr>
      <w:rPr>
        <w:rFonts w:cs="Times New Roman" w:hint="default"/>
        <w:u w:val="none"/>
      </w:rPr>
    </w:lvl>
  </w:abstractNum>
  <w:abstractNum w:abstractNumId="12" w15:restartNumberingAfterBreak="0">
    <w:nsid w:val="359D774E"/>
    <w:multiLevelType w:val="hybridMultilevel"/>
    <w:tmpl w:val="3CC6F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EF38EB"/>
    <w:multiLevelType w:val="hybridMultilevel"/>
    <w:tmpl w:val="C3005D28"/>
    <w:lvl w:ilvl="0" w:tplc="73B8B36C">
      <w:start w:val="1"/>
      <w:numFmt w:val="bullet"/>
      <w:lvlText w:val=""/>
      <w:lvlJc w:val="left"/>
      <w:pPr>
        <w:ind w:left="720" w:hanging="360"/>
      </w:pPr>
      <w:rPr>
        <w:rFonts w:ascii="Symbol" w:eastAsiaTheme="minorHAnsi"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8437B4"/>
    <w:multiLevelType w:val="hybridMultilevel"/>
    <w:tmpl w:val="FA4A962A"/>
    <w:lvl w:ilvl="0" w:tplc="32B835F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A63119"/>
    <w:multiLevelType w:val="hybridMultilevel"/>
    <w:tmpl w:val="561E24C4"/>
    <w:lvl w:ilvl="0" w:tplc="FDDA5B50">
      <w:start w:val="1"/>
      <w:numFmt w:val="decimal"/>
      <w:lvlText w:val="%1."/>
      <w:lvlJc w:val="left"/>
      <w:pPr>
        <w:ind w:left="360" w:hanging="360"/>
      </w:pPr>
      <w:rPr>
        <w:rFonts w:hint="default"/>
        <w:sz w:val="24"/>
      </w:rPr>
    </w:lvl>
    <w:lvl w:ilvl="1" w:tplc="53AA297C">
      <w:start w:val="1"/>
      <w:numFmt w:val="hebrew1"/>
      <w:lvlText w:val="(%2)"/>
      <w:lvlJc w:val="left"/>
      <w:pPr>
        <w:ind w:left="786" w:hanging="360"/>
      </w:pPr>
      <w:rPr>
        <w:rFonts w:ascii="Times New Roman" w:eastAsia="Times New Roman" w:hAnsi="Times New Roman" w:cs="David"/>
        <w:lang w:bidi="he-IL"/>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4A7EAC"/>
    <w:multiLevelType w:val="hybridMultilevel"/>
    <w:tmpl w:val="43F47BB0"/>
    <w:lvl w:ilvl="0" w:tplc="7FEE751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8A1C3E"/>
    <w:multiLevelType w:val="hybridMultilevel"/>
    <w:tmpl w:val="5A0264E8"/>
    <w:lvl w:ilvl="0" w:tplc="358A808E">
      <w:start w:val="1"/>
      <w:numFmt w:val="hebrew1"/>
      <w:lvlText w:val="%1."/>
      <w:lvlJc w:val="left"/>
      <w:pPr>
        <w:ind w:left="644" w:hanging="360"/>
      </w:pPr>
      <w:rPr>
        <w:rFonts w:cs="David"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1AA5CC4"/>
    <w:multiLevelType w:val="hybridMultilevel"/>
    <w:tmpl w:val="4ECA0746"/>
    <w:lvl w:ilvl="0" w:tplc="C12C6B0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AF253F"/>
    <w:multiLevelType w:val="hybridMultilevel"/>
    <w:tmpl w:val="BA969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18256E"/>
    <w:multiLevelType w:val="hybridMultilevel"/>
    <w:tmpl w:val="7ED0629A"/>
    <w:lvl w:ilvl="0" w:tplc="402C5B52">
      <w:start w:val="1"/>
      <w:numFmt w:val="hebrew1"/>
      <w:lvlText w:val="%1."/>
      <w:lvlJc w:val="left"/>
      <w:pPr>
        <w:ind w:left="644" w:hanging="360"/>
      </w:pPr>
      <w:rPr>
        <w:rFonts w:hint="default"/>
        <w:lang w:val="en-U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D0171B5"/>
    <w:multiLevelType w:val="hybridMultilevel"/>
    <w:tmpl w:val="759A1A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0064EE"/>
    <w:multiLevelType w:val="hybridMultilevel"/>
    <w:tmpl w:val="7F50B7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F71B5C"/>
    <w:multiLevelType w:val="hybridMultilevel"/>
    <w:tmpl w:val="3CC6F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1F230F"/>
    <w:multiLevelType w:val="hybridMultilevel"/>
    <w:tmpl w:val="C3809876"/>
    <w:lvl w:ilvl="0" w:tplc="53AA297C">
      <w:start w:val="1"/>
      <w:numFmt w:val="hebrew1"/>
      <w:lvlText w:val="(%1)"/>
      <w:lvlJc w:val="left"/>
      <w:pPr>
        <w:ind w:left="972" w:hanging="405"/>
      </w:pPr>
      <w:rPr>
        <w:rFonts w:ascii="Times New Roman" w:eastAsia="Times New Roman" w:hAnsi="Times New Roman" w:cs="David"/>
        <w:lang w:bidi="he-IL"/>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5B2F5A9D"/>
    <w:multiLevelType w:val="hybridMultilevel"/>
    <w:tmpl w:val="15EA362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C642375"/>
    <w:multiLevelType w:val="hybridMultilevel"/>
    <w:tmpl w:val="8C2258CE"/>
    <w:lvl w:ilvl="0" w:tplc="80523A7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F37F28"/>
    <w:multiLevelType w:val="hybridMultilevel"/>
    <w:tmpl w:val="10FE4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690804"/>
    <w:multiLevelType w:val="hybridMultilevel"/>
    <w:tmpl w:val="BB4E44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D835A3"/>
    <w:multiLevelType w:val="hybridMultilevel"/>
    <w:tmpl w:val="1F184B2E"/>
    <w:lvl w:ilvl="0" w:tplc="B2002148">
      <w:start w:val="31"/>
      <w:numFmt w:val="bullet"/>
      <w:lvlText w:val="-"/>
      <w:lvlJc w:val="left"/>
      <w:pPr>
        <w:ind w:left="720" w:hanging="360"/>
      </w:pPr>
      <w:rPr>
        <w:rFonts w:asciiTheme="minorHAnsi" w:eastAsiaTheme="minorHAnsi" w:hAnsiTheme="minorHAnsi"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1"/>
  </w:num>
  <w:num w:numId="3">
    <w:abstractNumId w:val="12"/>
  </w:num>
  <w:num w:numId="4">
    <w:abstractNumId w:val="5"/>
  </w:num>
  <w:num w:numId="5">
    <w:abstractNumId w:val="21"/>
  </w:num>
  <w:num w:numId="6">
    <w:abstractNumId w:val="23"/>
  </w:num>
  <w:num w:numId="7">
    <w:abstractNumId w:val="22"/>
  </w:num>
  <w:num w:numId="8">
    <w:abstractNumId w:val="0"/>
  </w:num>
  <w:num w:numId="9">
    <w:abstractNumId w:val="18"/>
  </w:num>
  <w:num w:numId="10">
    <w:abstractNumId w:val="19"/>
  </w:num>
  <w:num w:numId="11">
    <w:abstractNumId w:val="26"/>
  </w:num>
  <w:num w:numId="12">
    <w:abstractNumId w:val="10"/>
  </w:num>
  <w:num w:numId="13">
    <w:abstractNumId w:val="11"/>
  </w:num>
  <w:num w:numId="14">
    <w:abstractNumId w:val="2"/>
  </w:num>
  <w:num w:numId="15">
    <w:abstractNumId w:val="4"/>
  </w:num>
  <w:num w:numId="16">
    <w:abstractNumId w:val="20"/>
  </w:num>
  <w:num w:numId="17">
    <w:abstractNumId w:val="24"/>
  </w:num>
  <w:num w:numId="18">
    <w:abstractNumId w:val="17"/>
  </w:num>
  <w:num w:numId="19">
    <w:abstractNumId w:val="3"/>
  </w:num>
  <w:num w:numId="20">
    <w:abstractNumId w:val="6"/>
  </w:num>
  <w:num w:numId="21">
    <w:abstractNumId w:val="25"/>
  </w:num>
  <w:num w:numId="22">
    <w:abstractNumId w:val="15"/>
  </w:num>
  <w:num w:numId="23">
    <w:abstractNumId w:val="9"/>
  </w:num>
  <w:num w:numId="24">
    <w:abstractNumId w:val="7"/>
  </w:num>
  <w:num w:numId="25">
    <w:abstractNumId w:val="27"/>
  </w:num>
  <w:num w:numId="26">
    <w:abstractNumId w:val="13"/>
  </w:num>
  <w:num w:numId="27">
    <w:abstractNumId w:val="8"/>
  </w:num>
  <w:num w:numId="28">
    <w:abstractNumId w:val="14"/>
  </w:num>
  <w:num w:numId="29">
    <w:abstractNumId w:val="16"/>
  </w:num>
  <w:num w:numId="30">
    <w:abstractNumId w:val="1"/>
  </w:num>
  <w:num w:numId="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A57"/>
    <w:rsid w:val="0000180E"/>
    <w:rsid w:val="0000413F"/>
    <w:rsid w:val="000129C6"/>
    <w:rsid w:val="00014E64"/>
    <w:rsid w:val="00021C61"/>
    <w:rsid w:val="000223F8"/>
    <w:rsid w:val="00026985"/>
    <w:rsid w:val="000304C0"/>
    <w:rsid w:val="000305C4"/>
    <w:rsid w:val="00043A48"/>
    <w:rsid w:val="000441F5"/>
    <w:rsid w:val="000467B1"/>
    <w:rsid w:val="00052B72"/>
    <w:rsid w:val="00056C8E"/>
    <w:rsid w:val="00065CE1"/>
    <w:rsid w:val="000709CA"/>
    <w:rsid w:val="00071B01"/>
    <w:rsid w:val="000732A5"/>
    <w:rsid w:val="0007587D"/>
    <w:rsid w:val="00082E6D"/>
    <w:rsid w:val="000845A6"/>
    <w:rsid w:val="00091AA6"/>
    <w:rsid w:val="000937D8"/>
    <w:rsid w:val="000A3601"/>
    <w:rsid w:val="000A5E87"/>
    <w:rsid w:val="000B306E"/>
    <w:rsid w:val="000B6EEB"/>
    <w:rsid w:val="000C1436"/>
    <w:rsid w:val="000C6793"/>
    <w:rsid w:val="000D5CAB"/>
    <w:rsid w:val="000E270D"/>
    <w:rsid w:val="000E3DD3"/>
    <w:rsid w:val="000F437E"/>
    <w:rsid w:val="000F5C65"/>
    <w:rsid w:val="00107935"/>
    <w:rsid w:val="00114077"/>
    <w:rsid w:val="001142AB"/>
    <w:rsid w:val="00114E01"/>
    <w:rsid w:val="0011691A"/>
    <w:rsid w:val="0013063F"/>
    <w:rsid w:val="00132070"/>
    <w:rsid w:val="00137B4E"/>
    <w:rsid w:val="00142F23"/>
    <w:rsid w:val="00143A88"/>
    <w:rsid w:val="00150EDA"/>
    <w:rsid w:val="00154299"/>
    <w:rsid w:val="0016149B"/>
    <w:rsid w:val="00167190"/>
    <w:rsid w:val="00167748"/>
    <w:rsid w:val="00182CB4"/>
    <w:rsid w:val="0018651A"/>
    <w:rsid w:val="00190C23"/>
    <w:rsid w:val="00191BE8"/>
    <w:rsid w:val="001A2B54"/>
    <w:rsid w:val="001A40E4"/>
    <w:rsid w:val="001B1C60"/>
    <w:rsid w:val="001C105B"/>
    <w:rsid w:val="001C2A21"/>
    <w:rsid w:val="001C6C97"/>
    <w:rsid w:val="001C6D24"/>
    <w:rsid w:val="001D132B"/>
    <w:rsid w:val="001D3A71"/>
    <w:rsid w:val="001D74FE"/>
    <w:rsid w:val="001E46CF"/>
    <w:rsid w:val="001E7160"/>
    <w:rsid w:val="001F4831"/>
    <w:rsid w:val="001F6B73"/>
    <w:rsid w:val="00204C75"/>
    <w:rsid w:val="00205561"/>
    <w:rsid w:val="002075CA"/>
    <w:rsid w:val="00213D04"/>
    <w:rsid w:val="00216872"/>
    <w:rsid w:val="00220C93"/>
    <w:rsid w:val="00221548"/>
    <w:rsid w:val="00221581"/>
    <w:rsid w:val="002219A9"/>
    <w:rsid w:val="00232123"/>
    <w:rsid w:val="0024504B"/>
    <w:rsid w:val="0024571C"/>
    <w:rsid w:val="00246631"/>
    <w:rsid w:val="0026022C"/>
    <w:rsid w:val="00260816"/>
    <w:rsid w:val="00260B1B"/>
    <w:rsid w:val="00260B54"/>
    <w:rsid w:val="00270022"/>
    <w:rsid w:val="00270216"/>
    <w:rsid w:val="002766C7"/>
    <w:rsid w:val="0028076F"/>
    <w:rsid w:val="00280A06"/>
    <w:rsid w:val="00286E91"/>
    <w:rsid w:val="0029083E"/>
    <w:rsid w:val="0029407A"/>
    <w:rsid w:val="00296F7B"/>
    <w:rsid w:val="002A5369"/>
    <w:rsid w:val="002B046F"/>
    <w:rsid w:val="002B11D0"/>
    <w:rsid w:val="002B4F03"/>
    <w:rsid w:val="002B4FE7"/>
    <w:rsid w:val="002B51C5"/>
    <w:rsid w:val="002B52C4"/>
    <w:rsid w:val="002C1A8F"/>
    <w:rsid w:val="002C2CDF"/>
    <w:rsid w:val="002C6671"/>
    <w:rsid w:val="002C6684"/>
    <w:rsid w:val="002D4C48"/>
    <w:rsid w:val="002D5208"/>
    <w:rsid w:val="002D5446"/>
    <w:rsid w:val="002D675B"/>
    <w:rsid w:val="002E2C6E"/>
    <w:rsid w:val="002E7DDB"/>
    <w:rsid w:val="002F1F8F"/>
    <w:rsid w:val="002F20AA"/>
    <w:rsid w:val="002F2C0A"/>
    <w:rsid w:val="002F44B4"/>
    <w:rsid w:val="003006EB"/>
    <w:rsid w:val="00302569"/>
    <w:rsid w:val="00305530"/>
    <w:rsid w:val="00310ABA"/>
    <w:rsid w:val="00313429"/>
    <w:rsid w:val="003301DC"/>
    <w:rsid w:val="00330202"/>
    <w:rsid w:val="00332197"/>
    <w:rsid w:val="00335081"/>
    <w:rsid w:val="00346427"/>
    <w:rsid w:val="00347FB3"/>
    <w:rsid w:val="00356359"/>
    <w:rsid w:val="00360584"/>
    <w:rsid w:val="003646F1"/>
    <w:rsid w:val="00372ABB"/>
    <w:rsid w:val="00373936"/>
    <w:rsid w:val="003854D2"/>
    <w:rsid w:val="0038796C"/>
    <w:rsid w:val="0039368B"/>
    <w:rsid w:val="0039651B"/>
    <w:rsid w:val="003A218C"/>
    <w:rsid w:val="003A3A8F"/>
    <w:rsid w:val="003A6EEE"/>
    <w:rsid w:val="003B5968"/>
    <w:rsid w:val="003C023A"/>
    <w:rsid w:val="003D596A"/>
    <w:rsid w:val="003E1775"/>
    <w:rsid w:val="003E1B21"/>
    <w:rsid w:val="003F3817"/>
    <w:rsid w:val="003F58D8"/>
    <w:rsid w:val="003F680A"/>
    <w:rsid w:val="00402524"/>
    <w:rsid w:val="00402C21"/>
    <w:rsid w:val="004060F1"/>
    <w:rsid w:val="00426664"/>
    <w:rsid w:val="00433753"/>
    <w:rsid w:val="00445CB1"/>
    <w:rsid w:val="0045002A"/>
    <w:rsid w:val="004558B0"/>
    <w:rsid w:val="00455D51"/>
    <w:rsid w:val="00456976"/>
    <w:rsid w:val="00461D2E"/>
    <w:rsid w:val="0047055F"/>
    <w:rsid w:val="0047126A"/>
    <w:rsid w:val="00471B17"/>
    <w:rsid w:val="00475226"/>
    <w:rsid w:val="00475327"/>
    <w:rsid w:val="004944A0"/>
    <w:rsid w:val="004947B8"/>
    <w:rsid w:val="004A61DF"/>
    <w:rsid w:val="004B05B1"/>
    <w:rsid w:val="004B7F6D"/>
    <w:rsid w:val="004C4C55"/>
    <w:rsid w:val="004C52AE"/>
    <w:rsid w:val="004D32ED"/>
    <w:rsid w:val="004D493D"/>
    <w:rsid w:val="004D5223"/>
    <w:rsid w:val="004E56B0"/>
    <w:rsid w:val="004E7107"/>
    <w:rsid w:val="004F4336"/>
    <w:rsid w:val="00503905"/>
    <w:rsid w:val="00505206"/>
    <w:rsid w:val="00511502"/>
    <w:rsid w:val="0051167E"/>
    <w:rsid w:val="00512982"/>
    <w:rsid w:val="00512DE0"/>
    <w:rsid w:val="00531212"/>
    <w:rsid w:val="005321B0"/>
    <w:rsid w:val="00532DBD"/>
    <w:rsid w:val="00541282"/>
    <w:rsid w:val="00542611"/>
    <w:rsid w:val="00550955"/>
    <w:rsid w:val="00561F87"/>
    <w:rsid w:val="0056628D"/>
    <w:rsid w:val="005779B1"/>
    <w:rsid w:val="00581934"/>
    <w:rsid w:val="00586554"/>
    <w:rsid w:val="005873E0"/>
    <w:rsid w:val="00591ED3"/>
    <w:rsid w:val="005A0F90"/>
    <w:rsid w:val="005A2565"/>
    <w:rsid w:val="005B4B0E"/>
    <w:rsid w:val="005B6B94"/>
    <w:rsid w:val="005C33B4"/>
    <w:rsid w:val="005C7081"/>
    <w:rsid w:val="005D02D2"/>
    <w:rsid w:val="005D277B"/>
    <w:rsid w:val="005D3F69"/>
    <w:rsid w:val="005D4C40"/>
    <w:rsid w:val="005D66C5"/>
    <w:rsid w:val="005E137D"/>
    <w:rsid w:val="005E47FA"/>
    <w:rsid w:val="005F06F7"/>
    <w:rsid w:val="005F252E"/>
    <w:rsid w:val="005F48F8"/>
    <w:rsid w:val="005F64EF"/>
    <w:rsid w:val="005F6D45"/>
    <w:rsid w:val="00603857"/>
    <w:rsid w:val="006071EC"/>
    <w:rsid w:val="00611747"/>
    <w:rsid w:val="00614472"/>
    <w:rsid w:val="006202AF"/>
    <w:rsid w:val="00621DD3"/>
    <w:rsid w:val="00622471"/>
    <w:rsid w:val="006224A2"/>
    <w:rsid w:val="0063139D"/>
    <w:rsid w:val="00636CFA"/>
    <w:rsid w:val="006439A8"/>
    <w:rsid w:val="006459FB"/>
    <w:rsid w:val="00647861"/>
    <w:rsid w:val="00647AE5"/>
    <w:rsid w:val="00654373"/>
    <w:rsid w:val="006570DA"/>
    <w:rsid w:val="006657E9"/>
    <w:rsid w:val="006836B8"/>
    <w:rsid w:val="006879B2"/>
    <w:rsid w:val="006910FC"/>
    <w:rsid w:val="00691AAD"/>
    <w:rsid w:val="00694F25"/>
    <w:rsid w:val="006A087C"/>
    <w:rsid w:val="006A3DD1"/>
    <w:rsid w:val="006A4700"/>
    <w:rsid w:val="006A7986"/>
    <w:rsid w:val="006B5729"/>
    <w:rsid w:val="006B69F4"/>
    <w:rsid w:val="006B720A"/>
    <w:rsid w:val="006C32D4"/>
    <w:rsid w:val="006D3814"/>
    <w:rsid w:val="006D786D"/>
    <w:rsid w:val="006E30B6"/>
    <w:rsid w:val="006F1CAD"/>
    <w:rsid w:val="006F767A"/>
    <w:rsid w:val="00712C46"/>
    <w:rsid w:val="00713530"/>
    <w:rsid w:val="00713822"/>
    <w:rsid w:val="0071519D"/>
    <w:rsid w:val="00721DD6"/>
    <w:rsid w:val="00722670"/>
    <w:rsid w:val="007252C0"/>
    <w:rsid w:val="0072677E"/>
    <w:rsid w:val="00731094"/>
    <w:rsid w:val="00731386"/>
    <w:rsid w:val="00732CD6"/>
    <w:rsid w:val="00743387"/>
    <w:rsid w:val="00746A72"/>
    <w:rsid w:val="00764989"/>
    <w:rsid w:val="00765735"/>
    <w:rsid w:val="00771D80"/>
    <w:rsid w:val="007744CB"/>
    <w:rsid w:val="00774EFA"/>
    <w:rsid w:val="0077614E"/>
    <w:rsid w:val="007801E6"/>
    <w:rsid w:val="00783452"/>
    <w:rsid w:val="00786C6B"/>
    <w:rsid w:val="007873F7"/>
    <w:rsid w:val="00791750"/>
    <w:rsid w:val="007927D5"/>
    <w:rsid w:val="007A4FCC"/>
    <w:rsid w:val="007A551F"/>
    <w:rsid w:val="007A7CF6"/>
    <w:rsid w:val="007B4805"/>
    <w:rsid w:val="007B69E1"/>
    <w:rsid w:val="007C0570"/>
    <w:rsid w:val="007D0E2A"/>
    <w:rsid w:val="007D1BE0"/>
    <w:rsid w:val="007D6EBF"/>
    <w:rsid w:val="007E1414"/>
    <w:rsid w:val="007E74A9"/>
    <w:rsid w:val="007E79C3"/>
    <w:rsid w:val="007F09FA"/>
    <w:rsid w:val="007F0B3A"/>
    <w:rsid w:val="007F38C0"/>
    <w:rsid w:val="007F660A"/>
    <w:rsid w:val="007F6BB4"/>
    <w:rsid w:val="008020D7"/>
    <w:rsid w:val="00802F2C"/>
    <w:rsid w:val="00803B4E"/>
    <w:rsid w:val="00810FC2"/>
    <w:rsid w:val="00813883"/>
    <w:rsid w:val="00814DA3"/>
    <w:rsid w:val="008178EA"/>
    <w:rsid w:val="00831866"/>
    <w:rsid w:val="00831A64"/>
    <w:rsid w:val="00836BA9"/>
    <w:rsid w:val="008560D6"/>
    <w:rsid w:val="00860989"/>
    <w:rsid w:val="00865E0B"/>
    <w:rsid w:val="008726A4"/>
    <w:rsid w:val="00872F91"/>
    <w:rsid w:val="008745B5"/>
    <w:rsid w:val="008753D7"/>
    <w:rsid w:val="00880657"/>
    <w:rsid w:val="00880941"/>
    <w:rsid w:val="00886ACD"/>
    <w:rsid w:val="008915B9"/>
    <w:rsid w:val="00893B61"/>
    <w:rsid w:val="00896341"/>
    <w:rsid w:val="008C0528"/>
    <w:rsid w:val="008C0E3C"/>
    <w:rsid w:val="008C147B"/>
    <w:rsid w:val="008C5431"/>
    <w:rsid w:val="008C545F"/>
    <w:rsid w:val="008C5932"/>
    <w:rsid w:val="008D18BD"/>
    <w:rsid w:val="008D718B"/>
    <w:rsid w:val="008E1085"/>
    <w:rsid w:val="008E1482"/>
    <w:rsid w:val="008E7898"/>
    <w:rsid w:val="008F0A68"/>
    <w:rsid w:val="008F0E1E"/>
    <w:rsid w:val="008F5867"/>
    <w:rsid w:val="008F6773"/>
    <w:rsid w:val="00902859"/>
    <w:rsid w:val="00904895"/>
    <w:rsid w:val="00904D63"/>
    <w:rsid w:val="00907018"/>
    <w:rsid w:val="00910529"/>
    <w:rsid w:val="0091318C"/>
    <w:rsid w:val="00920428"/>
    <w:rsid w:val="00926521"/>
    <w:rsid w:val="00935E10"/>
    <w:rsid w:val="00940DDB"/>
    <w:rsid w:val="009437CC"/>
    <w:rsid w:val="00945FF4"/>
    <w:rsid w:val="0095639F"/>
    <w:rsid w:val="00956480"/>
    <w:rsid w:val="00963C7D"/>
    <w:rsid w:val="00972B6E"/>
    <w:rsid w:val="00984A36"/>
    <w:rsid w:val="00997AAC"/>
    <w:rsid w:val="009A2163"/>
    <w:rsid w:val="009A4444"/>
    <w:rsid w:val="009A4950"/>
    <w:rsid w:val="009A71A3"/>
    <w:rsid w:val="009D2B80"/>
    <w:rsid w:val="009D7AE5"/>
    <w:rsid w:val="00A03E47"/>
    <w:rsid w:val="00A047EF"/>
    <w:rsid w:val="00A0631A"/>
    <w:rsid w:val="00A165CA"/>
    <w:rsid w:val="00A20298"/>
    <w:rsid w:val="00A306E0"/>
    <w:rsid w:val="00A31AE2"/>
    <w:rsid w:val="00A356B6"/>
    <w:rsid w:val="00A3771D"/>
    <w:rsid w:val="00A41C8A"/>
    <w:rsid w:val="00A466CC"/>
    <w:rsid w:val="00A533FA"/>
    <w:rsid w:val="00A54924"/>
    <w:rsid w:val="00A644A0"/>
    <w:rsid w:val="00A64B69"/>
    <w:rsid w:val="00A67552"/>
    <w:rsid w:val="00A67566"/>
    <w:rsid w:val="00A83BCD"/>
    <w:rsid w:val="00A86BF9"/>
    <w:rsid w:val="00A87DC2"/>
    <w:rsid w:val="00A927A9"/>
    <w:rsid w:val="00A9531A"/>
    <w:rsid w:val="00AA0380"/>
    <w:rsid w:val="00AA1D91"/>
    <w:rsid w:val="00AA327E"/>
    <w:rsid w:val="00AA4AA7"/>
    <w:rsid w:val="00AB0FBD"/>
    <w:rsid w:val="00AC5AC9"/>
    <w:rsid w:val="00AD7865"/>
    <w:rsid w:val="00AD7FDF"/>
    <w:rsid w:val="00AE07CE"/>
    <w:rsid w:val="00AE0B2B"/>
    <w:rsid w:val="00AE273F"/>
    <w:rsid w:val="00AF0911"/>
    <w:rsid w:val="00AF6BE5"/>
    <w:rsid w:val="00B02855"/>
    <w:rsid w:val="00B02882"/>
    <w:rsid w:val="00B11D9D"/>
    <w:rsid w:val="00B152CE"/>
    <w:rsid w:val="00B16430"/>
    <w:rsid w:val="00B167F4"/>
    <w:rsid w:val="00B216E2"/>
    <w:rsid w:val="00B53B58"/>
    <w:rsid w:val="00B64B2E"/>
    <w:rsid w:val="00B675D2"/>
    <w:rsid w:val="00B675F7"/>
    <w:rsid w:val="00B676B4"/>
    <w:rsid w:val="00B83638"/>
    <w:rsid w:val="00B85216"/>
    <w:rsid w:val="00B90933"/>
    <w:rsid w:val="00B929A8"/>
    <w:rsid w:val="00B96E31"/>
    <w:rsid w:val="00B97063"/>
    <w:rsid w:val="00BA0692"/>
    <w:rsid w:val="00BA1B2C"/>
    <w:rsid w:val="00BA3BF5"/>
    <w:rsid w:val="00BA5AA4"/>
    <w:rsid w:val="00BA63B1"/>
    <w:rsid w:val="00BB5BA1"/>
    <w:rsid w:val="00BB6C2A"/>
    <w:rsid w:val="00BC3755"/>
    <w:rsid w:val="00BC4B60"/>
    <w:rsid w:val="00BE22FC"/>
    <w:rsid w:val="00BE46B9"/>
    <w:rsid w:val="00BE533A"/>
    <w:rsid w:val="00C048CA"/>
    <w:rsid w:val="00C05B42"/>
    <w:rsid w:val="00C070E4"/>
    <w:rsid w:val="00C170FF"/>
    <w:rsid w:val="00C22885"/>
    <w:rsid w:val="00C25C6C"/>
    <w:rsid w:val="00C2695E"/>
    <w:rsid w:val="00C26C1E"/>
    <w:rsid w:val="00C36D21"/>
    <w:rsid w:val="00C470E8"/>
    <w:rsid w:val="00C52A14"/>
    <w:rsid w:val="00C53382"/>
    <w:rsid w:val="00C53733"/>
    <w:rsid w:val="00C554AD"/>
    <w:rsid w:val="00C569F5"/>
    <w:rsid w:val="00C61811"/>
    <w:rsid w:val="00C71109"/>
    <w:rsid w:val="00C71FDE"/>
    <w:rsid w:val="00C77733"/>
    <w:rsid w:val="00C8258A"/>
    <w:rsid w:val="00C855EC"/>
    <w:rsid w:val="00C860E1"/>
    <w:rsid w:val="00C93913"/>
    <w:rsid w:val="00CA0BE6"/>
    <w:rsid w:val="00CA3A12"/>
    <w:rsid w:val="00CA5E4B"/>
    <w:rsid w:val="00CA705C"/>
    <w:rsid w:val="00CB3562"/>
    <w:rsid w:val="00CB3D51"/>
    <w:rsid w:val="00CB761A"/>
    <w:rsid w:val="00CD3A2B"/>
    <w:rsid w:val="00CD4A33"/>
    <w:rsid w:val="00CD7484"/>
    <w:rsid w:val="00CE4129"/>
    <w:rsid w:val="00CE4DDF"/>
    <w:rsid w:val="00CE760D"/>
    <w:rsid w:val="00CF3ED3"/>
    <w:rsid w:val="00D015BF"/>
    <w:rsid w:val="00D033F5"/>
    <w:rsid w:val="00D044C3"/>
    <w:rsid w:val="00D05EFC"/>
    <w:rsid w:val="00D70A8D"/>
    <w:rsid w:val="00D723E4"/>
    <w:rsid w:val="00D73A8C"/>
    <w:rsid w:val="00D744D6"/>
    <w:rsid w:val="00D84889"/>
    <w:rsid w:val="00D84E10"/>
    <w:rsid w:val="00D87EC6"/>
    <w:rsid w:val="00D923BF"/>
    <w:rsid w:val="00D95F4B"/>
    <w:rsid w:val="00DA1310"/>
    <w:rsid w:val="00DA18C9"/>
    <w:rsid w:val="00DA2646"/>
    <w:rsid w:val="00DA699E"/>
    <w:rsid w:val="00DC142E"/>
    <w:rsid w:val="00DC3BF7"/>
    <w:rsid w:val="00DC5476"/>
    <w:rsid w:val="00DC7856"/>
    <w:rsid w:val="00DD44C5"/>
    <w:rsid w:val="00DE4862"/>
    <w:rsid w:val="00E0179D"/>
    <w:rsid w:val="00E0186D"/>
    <w:rsid w:val="00E02AA9"/>
    <w:rsid w:val="00E11D43"/>
    <w:rsid w:val="00E15772"/>
    <w:rsid w:val="00E20BE6"/>
    <w:rsid w:val="00E21FF7"/>
    <w:rsid w:val="00E33C07"/>
    <w:rsid w:val="00E364B8"/>
    <w:rsid w:val="00E4093F"/>
    <w:rsid w:val="00E4099A"/>
    <w:rsid w:val="00E409AF"/>
    <w:rsid w:val="00E416B5"/>
    <w:rsid w:val="00E43A5A"/>
    <w:rsid w:val="00E43DEC"/>
    <w:rsid w:val="00E50AD9"/>
    <w:rsid w:val="00E5611A"/>
    <w:rsid w:val="00E600B2"/>
    <w:rsid w:val="00E617FC"/>
    <w:rsid w:val="00E7647E"/>
    <w:rsid w:val="00E771A5"/>
    <w:rsid w:val="00E91CB9"/>
    <w:rsid w:val="00EA02ED"/>
    <w:rsid w:val="00EA1366"/>
    <w:rsid w:val="00EA41CD"/>
    <w:rsid w:val="00EB2EE4"/>
    <w:rsid w:val="00EB4E98"/>
    <w:rsid w:val="00EB5588"/>
    <w:rsid w:val="00EC10ED"/>
    <w:rsid w:val="00EC6233"/>
    <w:rsid w:val="00ED1B55"/>
    <w:rsid w:val="00EE2A3A"/>
    <w:rsid w:val="00EE3257"/>
    <w:rsid w:val="00EE5B9F"/>
    <w:rsid w:val="00EF67BB"/>
    <w:rsid w:val="00F03208"/>
    <w:rsid w:val="00F05D85"/>
    <w:rsid w:val="00F05F60"/>
    <w:rsid w:val="00F10DCD"/>
    <w:rsid w:val="00F12D53"/>
    <w:rsid w:val="00F15C2C"/>
    <w:rsid w:val="00F1690E"/>
    <w:rsid w:val="00F17523"/>
    <w:rsid w:val="00F209AE"/>
    <w:rsid w:val="00F23F91"/>
    <w:rsid w:val="00F269D6"/>
    <w:rsid w:val="00F26CA2"/>
    <w:rsid w:val="00F301EF"/>
    <w:rsid w:val="00F323CC"/>
    <w:rsid w:val="00F349CD"/>
    <w:rsid w:val="00F4458E"/>
    <w:rsid w:val="00F46021"/>
    <w:rsid w:val="00F50D13"/>
    <w:rsid w:val="00F51FD3"/>
    <w:rsid w:val="00F520BB"/>
    <w:rsid w:val="00F52D73"/>
    <w:rsid w:val="00F53435"/>
    <w:rsid w:val="00F53C18"/>
    <w:rsid w:val="00F56BA6"/>
    <w:rsid w:val="00F57F9F"/>
    <w:rsid w:val="00F61E78"/>
    <w:rsid w:val="00F620B5"/>
    <w:rsid w:val="00F723DA"/>
    <w:rsid w:val="00F7275E"/>
    <w:rsid w:val="00F73794"/>
    <w:rsid w:val="00F85234"/>
    <w:rsid w:val="00F860B6"/>
    <w:rsid w:val="00F95B57"/>
    <w:rsid w:val="00FB40B9"/>
    <w:rsid w:val="00FC3458"/>
    <w:rsid w:val="00FC4401"/>
    <w:rsid w:val="00FC5454"/>
    <w:rsid w:val="00FC5E58"/>
    <w:rsid w:val="00FC610C"/>
    <w:rsid w:val="00FD575B"/>
    <w:rsid w:val="00FD7289"/>
    <w:rsid w:val="00FE3EFA"/>
    <w:rsid w:val="00FE6A57"/>
    <w:rsid w:val="00FF1C5A"/>
    <w:rsid w:val="00FF493D"/>
    <w:rsid w:val="00FF5E6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1631E2"/>
  <w15:docId w15:val="{B3008018-C63C-4E44-9C99-33A0AB90E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23F8"/>
    <w:pPr>
      <w:bidi/>
    </w:pPr>
  </w:style>
  <w:style w:type="paragraph" w:styleId="Heading1">
    <w:name w:val="heading 1"/>
    <w:basedOn w:val="Normal"/>
    <w:next w:val="Normal"/>
    <w:link w:val="Heading1Char"/>
    <w:uiPriority w:val="9"/>
    <w:qFormat/>
    <w:rsid w:val="00F301E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B6C2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D7865"/>
    <w:pPr>
      <w:ind w:left="720"/>
      <w:contextualSpacing/>
    </w:pPr>
  </w:style>
  <w:style w:type="paragraph" w:customStyle="1" w:styleId="2">
    <w:name w:val="מיספור2"/>
    <w:basedOn w:val="Normal"/>
    <w:next w:val="Normal"/>
    <w:uiPriority w:val="99"/>
    <w:rsid w:val="00143A88"/>
    <w:pPr>
      <w:numPr>
        <w:ilvl w:val="1"/>
        <w:numId w:val="2"/>
      </w:numPr>
      <w:spacing w:before="120" w:after="60" w:line="360" w:lineRule="auto"/>
      <w:jc w:val="both"/>
    </w:pPr>
    <w:rPr>
      <w:rFonts w:ascii="Times New Roman" w:eastAsia="Times New Roman" w:hAnsi="Times New Roman" w:cs="David"/>
      <w:sz w:val="20"/>
      <w:szCs w:val="24"/>
      <w:lang w:eastAsia="he-IL"/>
    </w:rPr>
  </w:style>
  <w:style w:type="paragraph" w:customStyle="1" w:styleId="1">
    <w:name w:val="מספור1"/>
    <w:basedOn w:val="Normal"/>
    <w:next w:val="Normal"/>
    <w:uiPriority w:val="99"/>
    <w:rsid w:val="00143A88"/>
    <w:pPr>
      <w:numPr>
        <w:numId w:val="2"/>
      </w:numPr>
      <w:spacing w:before="120" w:after="60" w:line="360" w:lineRule="auto"/>
      <w:ind w:right="34"/>
      <w:jc w:val="both"/>
    </w:pPr>
    <w:rPr>
      <w:rFonts w:ascii="Times New Roman" w:eastAsia="Times New Roman" w:hAnsi="Times New Roman" w:cs="David"/>
      <w:color w:val="000000"/>
      <w:sz w:val="20"/>
      <w:szCs w:val="24"/>
    </w:rPr>
  </w:style>
  <w:style w:type="paragraph" w:customStyle="1" w:styleId="3">
    <w:name w:val="מספור3"/>
    <w:basedOn w:val="Normal"/>
    <w:next w:val="Normal"/>
    <w:uiPriority w:val="99"/>
    <w:rsid w:val="00143A88"/>
    <w:pPr>
      <w:numPr>
        <w:ilvl w:val="2"/>
        <w:numId w:val="2"/>
      </w:numPr>
      <w:spacing w:before="120" w:after="60" w:line="360" w:lineRule="auto"/>
      <w:jc w:val="both"/>
    </w:pPr>
    <w:rPr>
      <w:rFonts w:ascii="Times New Roman" w:eastAsia="Times New Roman" w:hAnsi="Times New Roman" w:cs="David"/>
      <w:sz w:val="20"/>
      <w:szCs w:val="24"/>
      <w:lang w:eastAsia="he-IL"/>
    </w:rPr>
  </w:style>
  <w:style w:type="character" w:styleId="FootnoteReference">
    <w:name w:val="footnote reference"/>
    <w:basedOn w:val="DefaultParagraphFont"/>
    <w:semiHidden/>
    <w:unhideWhenUsed/>
    <w:rsid w:val="001A2B54"/>
    <w:rPr>
      <w:vertAlign w:val="superscript"/>
    </w:rPr>
  </w:style>
  <w:style w:type="character" w:styleId="Hyperlink">
    <w:name w:val="Hyperlink"/>
    <w:basedOn w:val="DefaultParagraphFont"/>
    <w:uiPriority w:val="99"/>
    <w:unhideWhenUsed/>
    <w:rsid w:val="001A2B54"/>
    <w:rPr>
      <w:color w:val="0000FF" w:themeColor="hyperlink"/>
      <w:u w:val="single"/>
    </w:rPr>
  </w:style>
  <w:style w:type="paragraph" w:styleId="FootnoteText">
    <w:name w:val="footnote text"/>
    <w:basedOn w:val="Normal"/>
    <w:link w:val="FootnoteTextChar"/>
    <w:unhideWhenUsed/>
    <w:rsid w:val="001A2B54"/>
    <w:pPr>
      <w:spacing w:after="0" w:line="240" w:lineRule="auto"/>
    </w:pPr>
    <w:rPr>
      <w:sz w:val="20"/>
      <w:szCs w:val="20"/>
    </w:rPr>
  </w:style>
  <w:style w:type="character" w:customStyle="1" w:styleId="FootnoteTextChar">
    <w:name w:val="Footnote Text Char"/>
    <w:basedOn w:val="DefaultParagraphFont"/>
    <w:link w:val="FootnoteText"/>
    <w:rsid w:val="001A2B54"/>
    <w:rPr>
      <w:sz w:val="20"/>
      <w:szCs w:val="20"/>
    </w:rPr>
  </w:style>
  <w:style w:type="character" w:styleId="FollowedHyperlink">
    <w:name w:val="FollowedHyperlink"/>
    <w:basedOn w:val="DefaultParagraphFont"/>
    <w:uiPriority w:val="99"/>
    <w:semiHidden/>
    <w:unhideWhenUsed/>
    <w:rsid w:val="0013063F"/>
    <w:rPr>
      <w:color w:val="800080" w:themeColor="followedHyperlink"/>
      <w:u w:val="single"/>
    </w:rPr>
  </w:style>
  <w:style w:type="character" w:styleId="CommentReference">
    <w:name w:val="annotation reference"/>
    <w:basedOn w:val="DefaultParagraphFont"/>
    <w:uiPriority w:val="99"/>
    <w:semiHidden/>
    <w:unhideWhenUsed/>
    <w:rsid w:val="00026985"/>
    <w:rPr>
      <w:sz w:val="16"/>
      <w:szCs w:val="16"/>
    </w:rPr>
  </w:style>
  <w:style w:type="paragraph" w:styleId="CommentText">
    <w:name w:val="annotation text"/>
    <w:basedOn w:val="Normal"/>
    <w:link w:val="CommentTextChar"/>
    <w:uiPriority w:val="99"/>
    <w:semiHidden/>
    <w:unhideWhenUsed/>
    <w:rsid w:val="00026985"/>
    <w:pPr>
      <w:spacing w:line="240" w:lineRule="auto"/>
    </w:pPr>
    <w:rPr>
      <w:sz w:val="20"/>
      <w:szCs w:val="20"/>
    </w:rPr>
  </w:style>
  <w:style w:type="character" w:customStyle="1" w:styleId="CommentTextChar">
    <w:name w:val="Comment Text Char"/>
    <w:basedOn w:val="DefaultParagraphFont"/>
    <w:link w:val="CommentText"/>
    <w:uiPriority w:val="99"/>
    <w:semiHidden/>
    <w:rsid w:val="00026985"/>
    <w:rPr>
      <w:sz w:val="20"/>
      <w:szCs w:val="20"/>
    </w:rPr>
  </w:style>
  <w:style w:type="paragraph" w:styleId="CommentSubject">
    <w:name w:val="annotation subject"/>
    <w:basedOn w:val="CommentText"/>
    <w:next w:val="CommentText"/>
    <w:link w:val="CommentSubjectChar"/>
    <w:uiPriority w:val="99"/>
    <w:semiHidden/>
    <w:unhideWhenUsed/>
    <w:rsid w:val="00026985"/>
    <w:rPr>
      <w:b/>
      <w:bCs/>
    </w:rPr>
  </w:style>
  <w:style w:type="character" w:customStyle="1" w:styleId="CommentSubjectChar">
    <w:name w:val="Comment Subject Char"/>
    <w:basedOn w:val="CommentTextChar"/>
    <w:link w:val="CommentSubject"/>
    <w:uiPriority w:val="99"/>
    <w:semiHidden/>
    <w:rsid w:val="00026985"/>
    <w:rPr>
      <w:b/>
      <w:bCs/>
      <w:sz w:val="20"/>
      <w:szCs w:val="20"/>
    </w:rPr>
  </w:style>
  <w:style w:type="paragraph" w:styleId="BalloonText">
    <w:name w:val="Balloon Text"/>
    <w:basedOn w:val="Normal"/>
    <w:link w:val="BalloonTextChar"/>
    <w:uiPriority w:val="99"/>
    <w:semiHidden/>
    <w:unhideWhenUsed/>
    <w:rsid w:val="000269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6985"/>
    <w:rPr>
      <w:rFonts w:ascii="Tahoma" w:hAnsi="Tahoma" w:cs="Tahoma"/>
      <w:sz w:val="16"/>
      <w:szCs w:val="16"/>
    </w:rPr>
  </w:style>
  <w:style w:type="paragraph" w:styleId="NoSpacing">
    <w:name w:val="No Spacing"/>
    <w:link w:val="NoSpacingChar"/>
    <w:uiPriority w:val="1"/>
    <w:qFormat/>
    <w:rsid w:val="00026985"/>
    <w:pPr>
      <w:bidi/>
      <w:spacing w:after="0" w:line="240" w:lineRule="auto"/>
    </w:pPr>
    <w:rPr>
      <w:rFonts w:eastAsiaTheme="minorEastAsia"/>
    </w:rPr>
  </w:style>
  <w:style w:type="character" w:customStyle="1" w:styleId="NoSpacingChar">
    <w:name w:val="No Spacing Char"/>
    <w:basedOn w:val="DefaultParagraphFont"/>
    <w:link w:val="NoSpacing"/>
    <w:uiPriority w:val="1"/>
    <w:rsid w:val="00026985"/>
    <w:rPr>
      <w:rFonts w:eastAsiaTheme="minorEastAsia"/>
    </w:rPr>
  </w:style>
  <w:style w:type="paragraph" w:styleId="Revision">
    <w:name w:val="Revision"/>
    <w:hidden/>
    <w:uiPriority w:val="99"/>
    <w:semiHidden/>
    <w:rsid w:val="00A64B69"/>
    <w:pPr>
      <w:spacing w:after="0" w:line="240" w:lineRule="auto"/>
    </w:pPr>
  </w:style>
  <w:style w:type="paragraph" w:styleId="BodyText3">
    <w:name w:val="Body Text 3"/>
    <w:basedOn w:val="Normal"/>
    <w:link w:val="BodyText3Char"/>
    <w:uiPriority w:val="99"/>
    <w:semiHidden/>
    <w:unhideWhenUsed/>
    <w:rsid w:val="00A64B69"/>
    <w:pPr>
      <w:spacing w:after="120"/>
    </w:pPr>
    <w:rPr>
      <w:sz w:val="16"/>
      <w:szCs w:val="16"/>
    </w:rPr>
  </w:style>
  <w:style w:type="character" w:customStyle="1" w:styleId="BodyText3Char">
    <w:name w:val="Body Text 3 Char"/>
    <w:basedOn w:val="DefaultParagraphFont"/>
    <w:link w:val="BodyText3"/>
    <w:uiPriority w:val="99"/>
    <w:semiHidden/>
    <w:rsid w:val="00A64B69"/>
    <w:rPr>
      <w:sz w:val="16"/>
      <w:szCs w:val="16"/>
    </w:rPr>
  </w:style>
  <w:style w:type="paragraph" w:styleId="Header">
    <w:name w:val="header"/>
    <w:basedOn w:val="Normal"/>
    <w:link w:val="HeaderChar"/>
    <w:uiPriority w:val="99"/>
    <w:unhideWhenUsed/>
    <w:rsid w:val="00542611"/>
    <w:pPr>
      <w:tabs>
        <w:tab w:val="center" w:pos="4320"/>
        <w:tab w:val="right" w:pos="8640"/>
      </w:tabs>
      <w:spacing w:after="0" w:line="240" w:lineRule="auto"/>
    </w:pPr>
  </w:style>
  <w:style w:type="character" w:customStyle="1" w:styleId="HeaderChar">
    <w:name w:val="Header Char"/>
    <w:basedOn w:val="DefaultParagraphFont"/>
    <w:link w:val="Header"/>
    <w:uiPriority w:val="99"/>
    <w:rsid w:val="00542611"/>
  </w:style>
  <w:style w:type="paragraph" w:styleId="Footer">
    <w:name w:val="footer"/>
    <w:basedOn w:val="Normal"/>
    <w:link w:val="FooterChar"/>
    <w:uiPriority w:val="99"/>
    <w:unhideWhenUsed/>
    <w:rsid w:val="00542611"/>
    <w:pPr>
      <w:tabs>
        <w:tab w:val="center" w:pos="4320"/>
        <w:tab w:val="right" w:pos="8640"/>
      </w:tabs>
      <w:spacing w:after="0" w:line="240" w:lineRule="auto"/>
    </w:pPr>
  </w:style>
  <w:style w:type="character" w:customStyle="1" w:styleId="FooterChar">
    <w:name w:val="Footer Char"/>
    <w:basedOn w:val="DefaultParagraphFont"/>
    <w:link w:val="Footer"/>
    <w:uiPriority w:val="99"/>
    <w:rsid w:val="00542611"/>
  </w:style>
  <w:style w:type="paragraph" w:customStyle="1" w:styleId="Default">
    <w:name w:val="Default"/>
    <w:rsid w:val="001C6D24"/>
    <w:pPr>
      <w:autoSpaceDE w:val="0"/>
      <w:autoSpaceDN w:val="0"/>
      <w:adjustRightInd w:val="0"/>
      <w:spacing w:after="0" w:line="240" w:lineRule="auto"/>
    </w:pPr>
    <w:rPr>
      <w:rFonts w:ascii="Calibri" w:hAnsi="Calibri" w:cs="Calibri"/>
      <w:color w:val="000000"/>
      <w:sz w:val="24"/>
      <w:szCs w:val="24"/>
    </w:rPr>
  </w:style>
  <w:style w:type="character" w:customStyle="1" w:styleId="Heading1Char">
    <w:name w:val="Heading 1 Char"/>
    <w:basedOn w:val="DefaultParagraphFont"/>
    <w:link w:val="Heading1"/>
    <w:uiPriority w:val="9"/>
    <w:rsid w:val="00F301EF"/>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B6C2A"/>
    <w:rPr>
      <w:rFonts w:asciiTheme="majorHAnsi" w:eastAsiaTheme="majorEastAsia" w:hAnsiTheme="majorHAnsi" w:cstheme="majorBidi"/>
      <w:color w:val="365F91" w:themeColor="accent1" w:themeShade="BF"/>
      <w:sz w:val="26"/>
      <w:szCs w:val="26"/>
    </w:rPr>
  </w:style>
  <w:style w:type="paragraph" w:customStyle="1" w:styleId="p00">
    <w:name w:val="p00"/>
    <w:basedOn w:val="Normal"/>
    <w:rsid w:val="00F57F9F"/>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g-number">
    <w:name w:val="big-number"/>
    <w:basedOn w:val="DefaultParagraphFont"/>
    <w:rsid w:val="00F57F9F"/>
  </w:style>
  <w:style w:type="character" w:customStyle="1" w:styleId="null1">
    <w:name w:val="null1"/>
    <w:basedOn w:val="DefaultParagraphFont"/>
    <w:rsid w:val="00E4093F"/>
  </w:style>
  <w:style w:type="character" w:customStyle="1" w:styleId="ListParagraphChar">
    <w:name w:val="List Paragraph Char"/>
    <w:basedOn w:val="DefaultParagraphFont"/>
    <w:link w:val="ListParagraph"/>
    <w:uiPriority w:val="34"/>
    <w:rsid w:val="006144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075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2" Type="http://schemas.openxmlformats.org/officeDocument/2006/relationships/hyperlink" Target="https://eur-lex.europa.eu/legal-content/EN/TXT/?uri=CELEX%3A32022R0720&amp;qid=1652368074897" TargetMode="External"/><Relationship Id="rId1" Type="http://schemas.openxmlformats.org/officeDocument/2006/relationships/hyperlink" Target="https://eur-lex.europa.eu/legal-content/EN/TXT/PDF/?uri=CELEX:12012E/TXT&amp;from=EN" TargetMode="Externa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‏20/0/2023</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3835803-7D58-4141-93D8-5839B75BF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1130</Words>
  <Characters>5653</Characters>
  <Application>Microsoft Office Word</Application>
  <DocSecurity>4</DocSecurity>
  <Lines>47</Lines>
  <Paragraphs>13</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דוח הערכת השפעת רגולציה</vt:lpstr>
      <vt:lpstr>דוח הערכת השפעת רגולציה</vt:lpstr>
    </vt:vector>
  </TitlesOfParts>
  <Company/>
  <LinksUpToDate>false</LinksUpToDate>
  <CharactersWithSpaces>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דוח הערכת השפעת רגולציה</dc:title>
  <dc:subject>טיוטת כללי התחרות הכלכלית (פטור סוג להסכמי הפצה בלעדית) (הוראת שעה) (תיקון מס'), התשפ"ג-2023</dc:subject>
  <dc:creator>עורכי הדו"ח: רשות ההגבלים העסקיים</dc:creator>
  <cp:keywords/>
  <dc:description/>
  <cp:lastModifiedBy>Melita Shafir</cp:lastModifiedBy>
  <cp:revision>2</cp:revision>
  <cp:lastPrinted>2018-03-15T09:27:00Z</cp:lastPrinted>
  <dcterms:created xsi:type="dcterms:W3CDTF">2023-04-23T07:55:00Z</dcterms:created>
  <dcterms:modified xsi:type="dcterms:W3CDTF">2023-04-23T07:55:00Z</dcterms:modified>
</cp:coreProperties>
</file>